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2277A" w14:textId="77777777" w:rsidR="00A25400" w:rsidRDefault="00A25400" w:rsidP="00A25400">
      <w:pPr>
        <w:pStyle w:val="Smal"/>
        <w:sectPr w:rsidR="00A25400" w:rsidSect="008D63A9">
          <w:headerReference w:type="even" r:id="rId11"/>
          <w:headerReference w:type="default" r:id="rId12"/>
          <w:headerReference w:type="first" r:id="rId13"/>
          <w:pgSz w:w="11906" w:h="16838" w:code="9"/>
          <w:pgMar w:top="567" w:right="2268" w:bottom="1134" w:left="2268" w:header="567" w:footer="567" w:gutter="0"/>
          <w:cols w:space="708"/>
          <w:docGrid w:linePitch="360"/>
        </w:sectPr>
      </w:pPr>
    </w:p>
    <w:p w14:paraId="553134CF" w14:textId="77777777" w:rsidR="00A25400" w:rsidRDefault="00A25400" w:rsidP="00A25400">
      <w:pPr>
        <w:pStyle w:val="Smal"/>
      </w:pPr>
    </w:p>
    <w:tbl>
      <w:tblPr>
        <w:tblW w:w="10303" w:type="dxa"/>
        <w:tblInd w:w="-1064" w:type="dxa"/>
        <w:tblLayout w:type="fixed"/>
        <w:tblCellMar>
          <w:left w:w="70" w:type="dxa"/>
          <w:right w:w="70" w:type="dxa"/>
        </w:tblCellMar>
        <w:tblLook w:val="0000" w:firstRow="0" w:lastRow="0" w:firstColumn="0" w:lastColumn="0" w:noHBand="0" w:noVBand="0"/>
      </w:tblPr>
      <w:tblGrid>
        <w:gridCol w:w="5320"/>
        <w:gridCol w:w="4983"/>
      </w:tblGrid>
      <w:tr w:rsidR="00E512CD" w14:paraId="61B86F3D" w14:textId="77777777" w:rsidTr="00E512CD">
        <w:trPr>
          <w:cantSplit/>
          <w:trHeight w:hRule="exact" w:val="1474"/>
        </w:trPr>
        <w:tc>
          <w:tcPr>
            <w:tcW w:w="5320" w:type="dxa"/>
          </w:tcPr>
          <w:p w14:paraId="5BC3B999" w14:textId="67303410" w:rsidR="00E512CD" w:rsidRDefault="00E512CD" w:rsidP="00ED5298">
            <w:pPr>
              <w:pStyle w:val="Flttext"/>
            </w:pPr>
          </w:p>
          <w:p w14:paraId="7EB3F899" w14:textId="77777777" w:rsidR="00ED5298" w:rsidRDefault="00ED5298" w:rsidP="00ED5298">
            <w:pPr>
              <w:pStyle w:val="Flttext"/>
            </w:pPr>
          </w:p>
          <w:p w14:paraId="5954F380" w14:textId="77777777" w:rsidR="00ED5298" w:rsidRPr="009B00C1" w:rsidRDefault="00ED5298" w:rsidP="00A47569">
            <w:pPr>
              <w:pStyle w:val="Flttext"/>
            </w:pPr>
            <w:bookmarkStart w:id="3" w:name="HandlUppg"/>
            <w:bookmarkEnd w:id="3"/>
          </w:p>
        </w:tc>
        <w:tc>
          <w:tcPr>
            <w:tcW w:w="4983" w:type="dxa"/>
          </w:tcPr>
          <w:p w14:paraId="2B0E6153" w14:textId="77777777" w:rsidR="00E512CD" w:rsidRDefault="00E512CD" w:rsidP="00E512CD">
            <w:pPr>
              <w:pStyle w:val="Flttext"/>
            </w:pPr>
          </w:p>
        </w:tc>
      </w:tr>
      <w:tr w:rsidR="009434F2" w14:paraId="7E18FE48" w14:textId="77777777" w:rsidTr="00E512CD">
        <w:trPr>
          <w:cantSplit/>
          <w:trHeight w:hRule="exact" w:val="1474"/>
        </w:trPr>
        <w:tc>
          <w:tcPr>
            <w:tcW w:w="5320" w:type="dxa"/>
          </w:tcPr>
          <w:p w14:paraId="7B9058F0" w14:textId="77777777" w:rsidR="009434F2" w:rsidRDefault="009434F2" w:rsidP="00E512CD">
            <w:pPr>
              <w:pStyle w:val="Flttext"/>
              <w:rPr>
                <w:noProof/>
              </w:rPr>
            </w:pPr>
          </w:p>
        </w:tc>
        <w:tc>
          <w:tcPr>
            <w:tcW w:w="4983" w:type="dxa"/>
          </w:tcPr>
          <w:p w14:paraId="6BB0F0F6" w14:textId="77777777" w:rsidR="009434F2" w:rsidRDefault="009434F2" w:rsidP="00E512CD">
            <w:pPr>
              <w:pStyle w:val="Flttext"/>
            </w:pPr>
          </w:p>
        </w:tc>
      </w:tr>
    </w:tbl>
    <w:p w14:paraId="1FE0062C" w14:textId="77777777" w:rsidR="00E512CD" w:rsidRDefault="00ED5298" w:rsidP="00487F05">
      <w:pPr>
        <w:pStyle w:val="Titel1"/>
      </w:pPr>
      <w:r>
        <w:t xml:space="preserve">Sveriges </w:t>
      </w:r>
      <w:r w:rsidR="00435B8F">
        <w:t>strategi</w:t>
      </w:r>
      <w:r>
        <w:t xml:space="preserve"> för oljeskadeskydd</w:t>
      </w:r>
    </w:p>
    <w:p w14:paraId="70597CC1" w14:textId="774018AD" w:rsidR="008F3879" w:rsidRDefault="00435B8F" w:rsidP="00487F05">
      <w:pPr>
        <w:pStyle w:val="Titel2"/>
      </w:pPr>
      <w:r>
        <w:t>Handlingsplan</w:t>
      </w:r>
      <w:r w:rsidR="00EF556F">
        <w:t xml:space="preserve"> </w:t>
      </w:r>
    </w:p>
    <w:p w14:paraId="1E9260C1" w14:textId="273C3343" w:rsidR="00EF556F" w:rsidRDefault="00EF556F" w:rsidP="00487F05">
      <w:pPr>
        <w:pStyle w:val="Titel2"/>
      </w:pPr>
    </w:p>
    <w:p w14:paraId="3413EFDA" w14:textId="77777777" w:rsidR="00A47569" w:rsidRDefault="00A47569" w:rsidP="00487F05">
      <w:pPr>
        <w:pStyle w:val="Titel2"/>
      </w:pPr>
    </w:p>
    <w:p w14:paraId="7BE53BDC" w14:textId="5925E73A" w:rsidR="00222AB3" w:rsidRDefault="00222AB3" w:rsidP="00222AB3">
      <w:r>
        <w:br w:type="page"/>
      </w:r>
    </w:p>
    <w:p w14:paraId="1E247204" w14:textId="77777777" w:rsidR="00CA5D93" w:rsidRDefault="00CA5D93" w:rsidP="00222AB3"/>
    <w:p w14:paraId="24365392" w14:textId="77777777" w:rsidR="00222AB3" w:rsidRPr="00E72561" w:rsidRDefault="00222AB3" w:rsidP="00E72561">
      <w:r w:rsidRPr="00E72561">
        <w:t>Utarbetad av Nationell samverkansgrupp för oljeskadeskydd (NSO)</w:t>
      </w:r>
    </w:p>
    <w:p w14:paraId="5330CA33" w14:textId="77777777" w:rsidR="00222AB3" w:rsidRPr="00E72561" w:rsidRDefault="00222AB3" w:rsidP="00E72561">
      <w:r w:rsidRPr="00E72561">
        <w:t>MS</w:t>
      </w:r>
      <w:r w:rsidR="00B23219">
        <w:t>B (sammanhållande): Sonja Dobo</w:t>
      </w:r>
    </w:p>
    <w:p w14:paraId="11C9EF48" w14:textId="77777777" w:rsidR="00222AB3" w:rsidRPr="00E72561" w:rsidRDefault="00222AB3" w:rsidP="00E72561">
      <w:r w:rsidRPr="00E72561">
        <w:t xml:space="preserve">Havs- och vattenmyndigheten: </w:t>
      </w:r>
      <w:r w:rsidR="00B23219">
        <w:t>Jonas Pålsson</w:t>
      </w:r>
    </w:p>
    <w:p w14:paraId="0AED4E17" w14:textId="14DBEE74" w:rsidR="00222AB3" w:rsidRPr="00E72561" w:rsidRDefault="00222AB3" w:rsidP="00E72561">
      <w:r w:rsidRPr="00E72561">
        <w:t xml:space="preserve">Kustbevakningen: </w:t>
      </w:r>
      <w:r w:rsidR="00B23219">
        <w:t>Cesar Vallin</w:t>
      </w:r>
      <w:r w:rsidR="009532FA">
        <w:t>, Jelena Savic</w:t>
      </w:r>
    </w:p>
    <w:p w14:paraId="4CD96CEC" w14:textId="77777777" w:rsidR="00E72561" w:rsidRPr="00E72561" w:rsidRDefault="00E72561" w:rsidP="00E72561">
      <w:r w:rsidRPr="00E72561">
        <w:t xml:space="preserve">Naturvårdsverket: </w:t>
      </w:r>
      <w:r w:rsidR="00B23219">
        <w:t>Gustav Björnstad</w:t>
      </w:r>
      <w:r w:rsidRPr="00E72561">
        <w:t xml:space="preserve"> </w:t>
      </w:r>
    </w:p>
    <w:p w14:paraId="4C3465C9" w14:textId="77777777" w:rsidR="00222AB3" w:rsidRPr="00E72561" w:rsidRDefault="00222AB3" w:rsidP="00E72561">
      <w:r w:rsidRPr="00E72561">
        <w:t xml:space="preserve">Sjöfartsverket: </w:t>
      </w:r>
      <w:r w:rsidR="00B23219">
        <w:t xml:space="preserve">Hulda </w:t>
      </w:r>
      <w:proofErr w:type="spellStart"/>
      <w:r w:rsidR="00B23219">
        <w:t>Winnes</w:t>
      </w:r>
      <w:proofErr w:type="spellEnd"/>
    </w:p>
    <w:p w14:paraId="1131B7E0" w14:textId="77777777" w:rsidR="00222AB3" w:rsidRPr="00E72561" w:rsidRDefault="00222AB3" w:rsidP="00E72561">
      <w:r w:rsidRPr="00E72561">
        <w:t xml:space="preserve">Transportstyrelsen: </w:t>
      </w:r>
      <w:r w:rsidR="00B23219">
        <w:t>Tomas Åström</w:t>
      </w:r>
    </w:p>
    <w:p w14:paraId="75D10B4F" w14:textId="74C08D48" w:rsidR="005F320E" w:rsidRPr="00E72561" w:rsidRDefault="00222AB3" w:rsidP="00E72561">
      <w:r w:rsidRPr="00E72561">
        <w:t xml:space="preserve">Länsstyrelserna: Lars Persson, </w:t>
      </w:r>
      <w:r w:rsidR="00B23219">
        <w:t>Anna Dimming</w:t>
      </w:r>
    </w:p>
    <w:p w14:paraId="14CDB02A" w14:textId="77777777" w:rsidR="00222AB3" w:rsidRDefault="00222AB3" w:rsidP="00222AB3">
      <w:r w:rsidRPr="00E72561">
        <w:t xml:space="preserve">Det kommunala perspektivet: </w:t>
      </w:r>
      <w:r w:rsidR="00B23219">
        <w:t>Samuel Andersson</w:t>
      </w:r>
      <w:r>
        <w:t xml:space="preserve"> </w:t>
      </w:r>
    </w:p>
    <w:p w14:paraId="31EC02D1" w14:textId="77777777" w:rsidR="00222AB3" w:rsidRDefault="00222AB3" w:rsidP="00222AB3"/>
    <w:p w14:paraId="3B818FB9" w14:textId="2D54CF37" w:rsidR="007A72CA" w:rsidRPr="005F320E" w:rsidRDefault="007A72CA" w:rsidP="00222AB3">
      <w:r w:rsidRPr="005F320E">
        <w:t>Publikationsnummer: MSB1886</w:t>
      </w:r>
    </w:p>
    <w:p w14:paraId="4AE5710C" w14:textId="2DC292E7" w:rsidR="007A72CA" w:rsidRDefault="007A72CA" w:rsidP="00222AB3">
      <w:r w:rsidRPr="005F320E">
        <w:rPr>
          <w:rFonts w:ascii="Calibri" w:hAnsi="Calibri" w:cs="Calibri"/>
          <w:color w:val="000000"/>
          <w:sz w:val="22"/>
          <w:szCs w:val="22"/>
        </w:rPr>
        <w:t>978-91-7927-217-3</w:t>
      </w:r>
    </w:p>
    <w:p w14:paraId="4634D14F" w14:textId="0D02B25F" w:rsidR="00222AB3" w:rsidRDefault="00222AB3" w:rsidP="00222AB3">
      <w:r>
        <w:br w:type="page"/>
      </w:r>
    </w:p>
    <w:p w14:paraId="734EA52E" w14:textId="77777777" w:rsidR="008D074B" w:rsidRDefault="008D074B" w:rsidP="00063281">
      <w:pPr>
        <w:pStyle w:val="Rubrikfre"/>
      </w:pPr>
      <w:r w:rsidRPr="00EF556F">
        <w:lastRenderedPageBreak/>
        <w:t>Innehållsförteckning</w:t>
      </w:r>
    </w:p>
    <w:p w14:paraId="7A821AC2" w14:textId="518F142A" w:rsidR="003F7CC7" w:rsidRDefault="008839ED">
      <w:pPr>
        <w:pStyle w:val="Innehll1"/>
        <w:rPr>
          <w:rFonts w:asciiTheme="minorHAnsi" w:eastAsiaTheme="minorEastAsia" w:hAnsiTheme="minorHAnsi" w:cstheme="minorBidi"/>
          <w:b w:val="0"/>
          <w:noProof/>
          <w:sz w:val="22"/>
          <w:szCs w:val="22"/>
        </w:rPr>
      </w:pPr>
      <w:r>
        <w:rPr>
          <w:b w:val="0"/>
        </w:rPr>
        <w:fldChar w:fldCharType="begin"/>
      </w:r>
      <w:r>
        <w:rPr>
          <w:b w:val="0"/>
        </w:rPr>
        <w:instrText xml:space="preserve"> TOC \o "2-3" \h \z \t "Rubrik 1;1;Rubrik bilaga;4" </w:instrText>
      </w:r>
      <w:r>
        <w:rPr>
          <w:b w:val="0"/>
        </w:rPr>
        <w:fldChar w:fldCharType="separate"/>
      </w:r>
      <w:hyperlink w:anchor="_Toc93561705" w:history="1">
        <w:r w:rsidR="003F7CC7" w:rsidRPr="00B54A7E">
          <w:rPr>
            <w:rStyle w:val="Hyperlnk"/>
            <w:noProof/>
          </w:rPr>
          <w:t>1.</w:t>
        </w:r>
        <w:r w:rsidR="003F7CC7">
          <w:rPr>
            <w:rFonts w:asciiTheme="minorHAnsi" w:eastAsiaTheme="minorEastAsia" w:hAnsiTheme="minorHAnsi" w:cstheme="minorBidi"/>
            <w:b w:val="0"/>
            <w:noProof/>
            <w:sz w:val="22"/>
            <w:szCs w:val="22"/>
          </w:rPr>
          <w:tab/>
        </w:r>
        <w:r w:rsidR="003F7CC7" w:rsidRPr="00B54A7E">
          <w:rPr>
            <w:rStyle w:val="Hyperlnk"/>
            <w:noProof/>
          </w:rPr>
          <w:t>Bakgrund och syfte</w:t>
        </w:r>
        <w:r w:rsidR="003F7CC7">
          <w:rPr>
            <w:noProof/>
            <w:webHidden/>
          </w:rPr>
          <w:tab/>
        </w:r>
        <w:r w:rsidR="003F7CC7">
          <w:rPr>
            <w:noProof/>
            <w:webHidden/>
          </w:rPr>
          <w:fldChar w:fldCharType="begin"/>
        </w:r>
        <w:r w:rsidR="003F7CC7">
          <w:rPr>
            <w:noProof/>
            <w:webHidden/>
          </w:rPr>
          <w:instrText xml:space="preserve"> PAGEREF _Toc93561705 \h </w:instrText>
        </w:r>
        <w:r w:rsidR="003F7CC7">
          <w:rPr>
            <w:noProof/>
            <w:webHidden/>
          </w:rPr>
        </w:r>
        <w:r w:rsidR="003F7CC7">
          <w:rPr>
            <w:noProof/>
            <w:webHidden/>
          </w:rPr>
          <w:fldChar w:fldCharType="separate"/>
        </w:r>
        <w:r w:rsidR="003F7CC7">
          <w:rPr>
            <w:noProof/>
            <w:webHidden/>
          </w:rPr>
          <w:t>4</w:t>
        </w:r>
        <w:r w:rsidR="003F7CC7">
          <w:rPr>
            <w:noProof/>
            <w:webHidden/>
          </w:rPr>
          <w:fldChar w:fldCharType="end"/>
        </w:r>
      </w:hyperlink>
    </w:p>
    <w:p w14:paraId="6C49795D" w14:textId="121D0230" w:rsidR="003F7CC7" w:rsidRDefault="002E51EC">
      <w:pPr>
        <w:pStyle w:val="Innehll2"/>
        <w:rPr>
          <w:rFonts w:asciiTheme="minorHAnsi" w:eastAsiaTheme="minorEastAsia" w:hAnsiTheme="minorHAnsi" w:cstheme="minorBidi"/>
          <w:noProof/>
          <w:sz w:val="22"/>
          <w:szCs w:val="22"/>
        </w:rPr>
      </w:pPr>
      <w:hyperlink w:anchor="_Toc93561706" w:history="1">
        <w:r w:rsidR="003F7CC7" w:rsidRPr="00B54A7E">
          <w:rPr>
            <w:rStyle w:val="Hyperlnk"/>
            <w:noProof/>
          </w:rPr>
          <w:t>1.1</w:t>
        </w:r>
        <w:r w:rsidR="003F7CC7">
          <w:rPr>
            <w:rFonts w:asciiTheme="minorHAnsi" w:eastAsiaTheme="minorEastAsia" w:hAnsiTheme="minorHAnsi" w:cstheme="minorBidi"/>
            <w:noProof/>
            <w:sz w:val="22"/>
            <w:szCs w:val="22"/>
          </w:rPr>
          <w:tab/>
        </w:r>
        <w:r w:rsidR="003F7CC7" w:rsidRPr="00B54A7E">
          <w:rPr>
            <w:rStyle w:val="Hyperlnk"/>
            <w:noProof/>
          </w:rPr>
          <w:t>Revidering</w:t>
        </w:r>
        <w:r w:rsidR="003F7CC7">
          <w:rPr>
            <w:noProof/>
            <w:webHidden/>
          </w:rPr>
          <w:tab/>
        </w:r>
        <w:r w:rsidR="003F7CC7">
          <w:rPr>
            <w:noProof/>
            <w:webHidden/>
          </w:rPr>
          <w:fldChar w:fldCharType="begin"/>
        </w:r>
        <w:r w:rsidR="003F7CC7">
          <w:rPr>
            <w:noProof/>
            <w:webHidden/>
          </w:rPr>
          <w:instrText xml:space="preserve"> PAGEREF _Toc93561706 \h </w:instrText>
        </w:r>
        <w:r w:rsidR="003F7CC7">
          <w:rPr>
            <w:noProof/>
            <w:webHidden/>
          </w:rPr>
        </w:r>
        <w:r w:rsidR="003F7CC7">
          <w:rPr>
            <w:noProof/>
            <w:webHidden/>
          </w:rPr>
          <w:fldChar w:fldCharType="separate"/>
        </w:r>
        <w:r w:rsidR="003F7CC7">
          <w:rPr>
            <w:noProof/>
            <w:webHidden/>
          </w:rPr>
          <w:t>6</w:t>
        </w:r>
        <w:r w:rsidR="003F7CC7">
          <w:rPr>
            <w:noProof/>
            <w:webHidden/>
          </w:rPr>
          <w:fldChar w:fldCharType="end"/>
        </w:r>
      </w:hyperlink>
    </w:p>
    <w:p w14:paraId="59C1CC69" w14:textId="4CC42DFE" w:rsidR="003F7CC7" w:rsidRDefault="002E51EC">
      <w:pPr>
        <w:pStyle w:val="Innehll2"/>
        <w:rPr>
          <w:rFonts w:asciiTheme="minorHAnsi" w:eastAsiaTheme="minorEastAsia" w:hAnsiTheme="minorHAnsi" w:cstheme="minorBidi"/>
          <w:noProof/>
          <w:sz w:val="22"/>
          <w:szCs w:val="22"/>
        </w:rPr>
      </w:pPr>
      <w:hyperlink w:anchor="_Toc93561707" w:history="1">
        <w:r w:rsidR="003F7CC7" w:rsidRPr="00B54A7E">
          <w:rPr>
            <w:rStyle w:val="Hyperlnk"/>
            <w:noProof/>
          </w:rPr>
          <w:t>1.2</w:t>
        </w:r>
        <w:r w:rsidR="003F7CC7">
          <w:rPr>
            <w:rFonts w:asciiTheme="minorHAnsi" w:eastAsiaTheme="minorEastAsia" w:hAnsiTheme="minorHAnsi" w:cstheme="minorBidi"/>
            <w:noProof/>
            <w:sz w:val="22"/>
            <w:szCs w:val="22"/>
          </w:rPr>
          <w:tab/>
        </w:r>
        <w:r w:rsidR="003F7CC7" w:rsidRPr="00B54A7E">
          <w:rPr>
            <w:rStyle w:val="Hyperlnk"/>
            <w:noProof/>
          </w:rPr>
          <w:t>Avgränsning</w:t>
        </w:r>
        <w:r w:rsidR="003F7CC7">
          <w:rPr>
            <w:noProof/>
            <w:webHidden/>
          </w:rPr>
          <w:tab/>
        </w:r>
        <w:r w:rsidR="003F7CC7">
          <w:rPr>
            <w:noProof/>
            <w:webHidden/>
          </w:rPr>
          <w:fldChar w:fldCharType="begin"/>
        </w:r>
        <w:r w:rsidR="003F7CC7">
          <w:rPr>
            <w:noProof/>
            <w:webHidden/>
          </w:rPr>
          <w:instrText xml:space="preserve"> PAGEREF _Toc93561707 \h </w:instrText>
        </w:r>
        <w:r w:rsidR="003F7CC7">
          <w:rPr>
            <w:noProof/>
            <w:webHidden/>
          </w:rPr>
        </w:r>
        <w:r w:rsidR="003F7CC7">
          <w:rPr>
            <w:noProof/>
            <w:webHidden/>
          </w:rPr>
          <w:fldChar w:fldCharType="separate"/>
        </w:r>
        <w:r w:rsidR="003F7CC7">
          <w:rPr>
            <w:noProof/>
            <w:webHidden/>
          </w:rPr>
          <w:t>6</w:t>
        </w:r>
        <w:r w:rsidR="003F7CC7">
          <w:rPr>
            <w:noProof/>
            <w:webHidden/>
          </w:rPr>
          <w:fldChar w:fldCharType="end"/>
        </w:r>
      </w:hyperlink>
    </w:p>
    <w:p w14:paraId="7ACBBA13" w14:textId="79815BEA" w:rsidR="003F7CC7" w:rsidRDefault="002E51EC">
      <w:pPr>
        <w:pStyle w:val="Innehll2"/>
        <w:rPr>
          <w:rFonts w:asciiTheme="minorHAnsi" w:eastAsiaTheme="minorEastAsia" w:hAnsiTheme="minorHAnsi" w:cstheme="minorBidi"/>
          <w:noProof/>
          <w:sz w:val="22"/>
          <w:szCs w:val="22"/>
        </w:rPr>
      </w:pPr>
      <w:hyperlink w:anchor="_Toc93561708" w:history="1">
        <w:r w:rsidR="003F7CC7" w:rsidRPr="00B54A7E">
          <w:rPr>
            <w:rStyle w:val="Hyperlnk"/>
            <w:noProof/>
          </w:rPr>
          <w:t>1.3</w:t>
        </w:r>
        <w:r w:rsidR="003F7CC7">
          <w:rPr>
            <w:rFonts w:asciiTheme="minorHAnsi" w:eastAsiaTheme="minorEastAsia" w:hAnsiTheme="minorHAnsi" w:cstheme="minorBidi"/>
            <w:noProof/>
            <w:sz w:val="22"/>
            <w:szCs w:val="22"/>
          </w:rPr>
          <w:tab/>
        </w:r>
        <w:r w:rsidR="003F7CC7" w:rsidRPr="00B54A7E">
          <w:rPr>
            <w:rStyle w:val="Hyperlnk"/>
            <w:noProof/>
          </w:rPr>
          <w:t>Läsanvisningar</w:t>
        </w:r>
        <w:r w:rsidR="003F7CC7">
          <w:rPr>
            <w:noProof/>
            <w:webHidden/>
          </w:rPr>
          <w:tab/>
        </w:r>
        <w:r w:rsidR="003F7CC7">
          <w:rPr>
            <w:noProof/>
            <w:webHidden/>
          </w:rPr>
          <w:fldChar w:fldCharType="begin"/>
        </w:r>
        <w:r w:rsidR="003F7CC7">
          <w:rPr>
            <w:noProof/>
            <w:webHidden/>
          </w:rPr>
          <w:instrText xml:space="preserve"> PAGEREF _Toc93561708 \h </w:instrText>
        </w:r>
        <w:r w:rsidR="003F7CC7">
          <w:rPr>
            <w:noProof/>
            <w:webHidden/>
          </w:rPr>
        </w:r>
        <w:r w:rsidR="003F7CC7">
          <w:rPr>
            <w:noProof/>
            <w:webHidden/>
          </w:rPr>
          <w:fldChar w:fldCharType="separate"/>
        </w:r>
        <w:r w:rsidR="003F7CC7">
          <w:rPr>
            <w:noProof/>
            <w:webHidden/>
          </w:rPr>
          <w:t>7</w:t>
        </w:r>
        <w:r w:rsidR="003F7CC7">
          <w:rPr>
            <w:noProof/>
            <w:webHidden/>
          </w:rPr>
          <w:fldChar w:fldCharType="end"/>
        </w:r>
      </w:hyperlink>
    </w:p>
    <w:p w14:paraId="74AE5440" w14:textId="6099A8EE" w:rsidR="003F7CC7" w:rsidRDefault="002E51EC">
      <w:pPr>
        <w:pStyle w:val="Innehll2"/>
        <w:rPr>
          <w:rFonts w:asciiTheme="minorHAnsi" w:eastAsiaTheme="minorEastAsia" w:hAnsiTheme="minorHAnsi" w:cstheme="minorBidi"/>
          <w:noProof/>
          <w:sz w:val="22"/>
          <w:szCs w:val="22"/>
        </w:rPr>
      </w:pPr>
      <w:hyperlink w:anchor="_Toc93561709" w:history="1">
        <w:r w:rsidR="003F7CC7" w:rsidRPr="00B54A7E">
          <w:rPr>
            <w:rStyle w:val="Hyperlnk"/>
            <w:noProof/>
          </w:rPr>
          <w:t>1.4</w:t>
        </w:r>
        <w:r w:rsidR="003F7CC7">
          <w:rPr>
            <w:rFonts w:asciiTheme="minorHAnsi" w:eastAsiaTheme="minorEastAsia" w:hAnsiTheme="minorHAnsi" w:cstheme="minorBidi"/>
            <w:noProof/>
            <w:sz w:val="22"/>
            <w:szCs w:val="22"/>
          </w:rPr>
          <w:tab/>
        </w:r>
        <w:r w:rsidR="003F7CC7" w:rsidRPr="00B54A7E">
          <w:rPr>
            <w:rStyle w:val="Hyperlnk"/>
            <w:noProof/>
          </w:rPr>
          <w:t>NSO:s verksamhet</w:t>
        </w:r>
        <w:r w:rsidR="003F7CC7">
          <w:rPr>
            <w:noProof/>
            <w:webHidden/>
          </w:rPr>
          <w:tab/>
        </w:r>
        <w:r w:rsidR="003F7CC7">
          <w:rPr>
            <w:noProof/>
            <w:webHidden/>
          </w:rPr>
          <w:fldChar w:fldCharType="begin"/>
        </w:r>
        <w:r w:rsidR="003F7CC7">
          <w:rPr>
            <w:noProof/>
            <w:webHidden/>
          </w:rPr>
          <w:instrText xml:space="preserve"> PAGEREF _Toc93561709 \h </w:instrText>
        </w:r>
        <w:r w:rsidR="003F7CC7">
          <w:rPr>
            <w:noProof/>
            <w:webHidden/>
          </w:rPr>
        </w:r>
        <w:r w:rsidR="003F7CC7">
          <w:rPr>
            <w:noProof/>
            <w:webHidden/>
          </w:rPr>
          <w:fldChar w:fldCharType="separate"/>
        </w:r>
        <w:r w:rsidR="003F7CC7">
          <w:rPr>
            <w:noProof/>
            <w:webHidden/>
          </w:rPr>
          <w:t>8</w:t>
        </w:r>
        <w:r w:rsidR="003F7CC7">
          <w:rPr>
            <w:noProof/>
            <w:webHidden/>
          </w:rPr>
          <w:fldChar w:fldCharType="end"/>
        </w:r>
      </w:hyperlink>
    </w:p>
    <w:p w14:paraId="5EE30413" w14:textId="4F2DD541" w:rsidR="003F7CC7" w:rsidRDefault="002E51EC">
      <w:pPr>
        <w:pStyle w:val="Innehll3"/>
        <w:rPr>
          <w:rFonts w:asciiTheme="minorHAnsi" w:eastAsiaTheme="minorEastAsia" w:hAnsiTheme="minorHAnsi" w:cstheme="minorBidi"/>
          <w:noProof/>
          <w:sz w:val="22"/>
          <w:szCs w:val="22"/>
        </w:rPr>
      </w:pPr>
      <w:hyperlink w:anchor="_Toc93561710" w:history="1">
        <w:r w:rsidR="003F7CC7" w:rsidRPr="00B54A7E">
          <w:rPr>
            <w:rStyle w:val="Hyperlnk"/>
            <w:rFonts w:eastAsiaTheme="minorHAnsi"/>
            <w:bCs/>
            <w:noProof/>
          </w:rPr>
          <w:t>1.4.1</w:t>
        </w:r>
        <w:r w:rsidR="003F7CC7">
          <w:rPr>
            <w:rFonts w:asciiTheme="minorHAnsi" w:eastAsiaTheme="minorEastAsia" w:hAnsiTheme="minorHAnsi" w:cstheme="minorBidi"/>
            <w:noProof/>
            <w:sz w:val="22"/>
            <w:szCs w:val="22"/>
          </w:rPr>
          <w:tab/>
        </w:r>
        <w:r w:rsidR="003F7CC7" w:rsidRPr="00B54A7E">
          <w:rPr>
            <w:rStyle w:val="Hyperlnk"/>
            <w:rFonts w:eastAsiaTheme="minorHAnsi"/>
            <w:bCs/>
            <w:noProof/>
          </w:rPr>
          <w:t>NSO:s historik och behovet av en verksamhetslogik</w:t>
        </w:r>
        <w:r w:rsidR="003F7CC7">
          <w:rPr>
            <w:noProof/>
            <w:webHidden/>
          </w:rPr>
          <w:tab/>
        </w:r>
        <w:r w:rsidR="003F7CC7">
          <w:rPr>
            <w:noProof/>
            <w:webHidden/>
          </w:rPr>
          <w:fldChar w:fldCharType="begin"/>
        </w:r>
        <w:r w:rsidR="003F7CC7">
          <w:rPr>
            <w:noProof/>
            <w:webHidden/>
          </w:rPr>
          <w:instrText xml:space="preserve"> PAGEREF _Toc93561710 \h </w:instrText>
        </w:r>
        <w:r w:rsidR="003F7CC7">
          <w:rPr>
            <w:noProof/>
            <w:webHidden/>
          </w:rPr>
        </w:r>
        <w:r w:rsidR="003F7CC7">
          <w:rPr>
            <w:noProof/>
            <w:webHidden/>
          </w:rPr>
          <w:fldChar w:fldCharType="separate"/>
        </w:r>
        <w:r w:rsidR="003F7CC7">
          <w:rPr>
            <w:noProof/>
            <w:webHidden/>
          </w:rPr>
          <w:t>8</w:t>
        </w:r>
        <w:r w:rsidR="003F7CC7">
          <w:rPr>
            <w:noProof/>
            <w:webHidden/>
          </w:rPr>
          <w:fldChar w:fldCharType="end"/>
        </w:r>
      </w:hyperlink>
    </w:p>
    <w:p w14:paraId="46202B3D" w14:textId="50975BBE" w:rsidR="003F7CC7" w:rsidRDefault="002E51EC">
      <w:pPr>
        <w:pStyle w:val="Innehll3"/>
        <w:rPr>
          <w:rFonts w:asciiTheme="minorHAnsi" w:eastAsiaTheme="minorEastAsia" w:hAnsiTheme="minorHAnsi" w:cstheme="minorBidi"/>
          <w:noProof/>
          <w:sz w:val="22"/>
          <w:szCs w:val="22"/>
        </w:rPr>
      </w:pPr>
      <w:hyperlink w:anchor="_Toc93561711" w:history="1">
        <w:r w:rsidR="003F7CC7" w:rsidRPr="00B54A7E">
          <w:rPr>
            <w:rStyle w:val="Hyperlnk"/>
            <w:rFonts w:eastAsiaTheme="minorHAnsi"/>
            <w:bCs/>
            <w:noProof/>
          </w:rPr>
          <w:t>1.4.2</w:t>
        </w:r>
        <w:r w:rsidR="003F7CC7">
          <w:rPr>
            <w:rFonts w:asciiTheme="minorHAnsi" w:eastAsiaTheme="minorEastAsia" w:hAnsiTheme="minorHAnsi" w:cstheme="minorBidi"/>
            <w:noProof/>
            <w:sz w:val="22"/>
            <w:szCs w:val="22"/>
          </w:rPr>
          <w:tab/>
        </w:r>
        <w:r w:rsidR="003F7CC7" w:rsidRPr="00B54A7E">
          <w:rPr>
            <w:rStyle w:val="Hyperlnk"/>
            <w:rFonts w:eastAsiaTheme="minorHAnsi"/>
            <w:bCs/>
            <w:noProof/>
          </w:rPr>
          <w:t>Beskrivning av NSO:s aktiviteter</w:t>
        </w:r>
        <w:r w:rsidR="003F7CC7">
          <w:rPr>
            <w:noProof/>
            <w:webHidden/>
          </w:rPr>
          <w:tab/>
        </w:r>
        <w:r w:rsidR="003F7CC7">
          <w:rPr>
            <w:noProof/>
            <w:webHidden/>
          </w:rPr>
          <w:fldChar w:fldCharType="begin"/>
        </w:r>
        <w:r w:rsidR="003F7CC7">
          <w:rPr>
            <w:noProof/>
            <w:webHidden/>
          </w:rPr>
          <w:instrText xml:space="preserve"> PAGEREF _Toc93561711 \h </w:instrText>
        </w:r>
        <w:r w:rsidR="003F7CC7">
          <w:rPr>
            <w:noProof/>
            <w:webHidden/>
          </w:rPr>
        </w:r>
        <w:r w:rsidR="003F7CC7">
          <w:rPr>
            <w:noProof/>
            <w:webHidden/>
          </w:rPr>
          <w:fldChar w:fldCharType="separate"/>
        </w:r>
        <w:r w:rsidR="003F7CC7">
          <w:rPr>
            <w:noProof/>
            <w:webHidden/>
          </w:rPr>
          <w:t>11</w:t>
        </w:r>
        <w:r w:rsidR="003F7CC7">
          <w:rPr>
            <w:noProof/>
            <w:webHidden/>
          </w:rPr>
          <w:fldChar w:fldCharType="end"/>
        </w:r>
      </w:hyperlink>
    </w:p>
    <w:p w14:paraId="5B2790EF" w14:textId="47650FA9" w:rsidR="003F7CC7" w:rsidRDefault="002E51EC">
      <w:pPr>
        <w:pStyle w:val="Innehll1"/>
        <w:rPr>
          <w:rFonts w:asciiTheme="minorHAnsi" w:eastAsiaTheme="minorEastAsia" w:hAnsiTheme="minorHAnsi" w:cstheme="minorBidi"/>
          <w:b w:val="0"/>
          <w:noProof/>
          <w:sz w:val="22"/>
          <w:szCs w:val="22"/>
        </w:rPr>
      </w:pPr>
      <w:hyperlink w:anchor="_Toc93561712" w:history="1">
        <w:r w:rsidR="003F7CC7" w:rsidRPr="00B54A7E">
          <w:rPr>
            <w:rStyle w:val="Hyperlnk"/>
            <w:noProof/>
          </w:rPr>
          <w:t>2.</w:t>
        </w:r>
        <w:r w:rsidR="003F7CC7">
          <w:rPr>
            <w:rFonts w:asciiTheme="minorHAnsi" w:eastAsiaTheme="minorEastAsia" w:hAnsiTheme="minorHAnsi" w:cstheme="minorBidi"/>
            <w:b w:val="0"/>
            <w:noProof/>
            <w:sz w:val="22"/>
            <w:szCs w:val="22"/>
          </w:rPr>
          <w:tab/>
        </w:r>
        <w:r w:rsidR="003F7CC7" w:rsidRPr="00B54A7E">
          <w:rPr>
            <w:rStyle w:val="Hyperlnk"/>
            <w:noProof/>
          </w:rPr>
          <w:t>Åtgärder för att uppnå strategins målsättningar</w:t>
        </w:r>
        <w:r w:rsidR="003F7CC7">
          <w:rPr>
            <w:noProof/>
            <w:webHidden/>
          </w:rPr>
          <w:tab/>
        </w:r>
        <w:r w:rsidR="003F7CC7">
          <w:rPr>
            <w:noProof/>
            <w:webHidden/>
          </w:rPr>
          <w:fldChar w:fldCharType="begin"/>
        </w:r>
        <w:r w:rsidR="003F7CC7">
          <w:rPr>
            <w:noProof/>
            <w:webHidden/>
          </w:rPr>
          <w:instrText xml:space="preserve"> PAGEREF _Toc93561712 \h </w:instrText>
        </w:r>
        <w:r w:rsidR="003F7CC7">
          <w:rPr>
            <w:noProof/>
            <w:webHidden/>
          </w:rPr>
        </w:r>
        <w:r w:rsidR="003F7CC7">
          <w:rPr>
            <w:noProof/>
            <w:webHidden/>
          </w:rPr>
          <w:fldChar w:fldCharType="separate"/>
        </w:r>
        <w:r w:rsidR="003F7CC7">
          <w:rPr>
            <w:noProof/>
            <w:webHidden/>
          </w:rPr>
          <w:t>14</w:t>
        </w:r>
        <w:r w:rsidR="003F7CC7">
          <w:rPr>
            <w:noProof/>
            <w:webHidden/>
          </w:rPr>
          <w:fldChar w:fldCharType="end"/>
        </w:r>
      </w:hyperlink>
    </w:p>
    <w:p w14:paraId="17F00F7F" w14:textId="784664DB" w:rsidR="003F7CC7" w:rsidRDefault="002E51EC">
      <w:pPr>
        <w:pStyle w:val="Innehll2"/>
        <w:rPr>
          <w:rFonts w:asciiTheme="minorHAnsi" w:eastAsiaTheme="minorEastAsia" w:hAnsiTheme="minorHAnsi" w:cstheme="minorBidi"/>
          <w:noProof/>
          <w:sz w:val="22"/>
          <w:szCs w:val="22"/>
        </w:rPr>
      </w:pPr>
      <w:hyperlink w:anchor="_Toc93561713" w:history="1">
        <w:r w:rsidR="003F7CC7" w:rsidRPr="00B54A7E">
          <w:rPr>
            <w:rStyle w:val="Hyperlnk"/>
            <w:noProof/>
          </w:rPr>
          <w:t>2.1</w:t>
        </w:r>
        <w:r w:rsidR="003F7CC7">
          <w:rPr>
            <w:rFonts w:asciiTheme="minorHAnsi" w:eastAsiaTheme="minorEastAsia" w:hAnsiTheme="minorHAnsi" w:cstheme="minorBidi"/>
            <w:noProof/>
            <w:sz w:val="22"/>
            <w:szCs w:val="22"/>
          </w:rPr>
          <w:tab/>
        </w:r>
        <w:r w:rsidR="003F7CC7" w:rsidRPr="00B54A7E">
          <w:rPr>
            <w:rStyle w:val="Hyperlnk"/>
            <w:noProof/>
          </w:rPr>
          <w:t>Fokusområde 1 – Inriktning och samordning</w:t>
        </w:r>
        <w:r w:rsidR="003F7CC7">
          <w:rPr>
            <w:noProof/>
            <w:webHidden/>
          </w:rPr>
          <w:tab/>
        </w:r>
        <w:r w:rsidR="003F7CC7">
          <w:rPr>
            <w:noProof/>
            <w:webHidden/>
          </w:rPr>
          <w:fldChar w:fldCharType="begin"/>
        </w:r>
        <w:r w:rsidR="003F7CC7">
          <w:rPr>
            <w:noProof/>
            <w:webHidden/>
          </w:rPr>
          <w:instrText xml:space="preserve"> PAGEREF _Toc93561713 \h </w:instrText>
        </w:r>
        <w:r w:rsidR="003F7CC7">
          <w:rPr>
            <w:noProof/>
            <w:webHidden/>
          </w:rPr>
        </w:r>
        <w:r w:rsidR="003F7CC7">
          <w:rPr>
            <w:noProof/>
            <w:webHidden/>
          </w:rPr>
          <w:fldChar w:fldCharType="separate"/>
        </w:r>
        <w:r w:rsidR="003F7CC7">
          <w:rPr>
            <w:noProof/>
            <w:webHidden/>
          </w:rPr>
          <w:t>16</w:t>
        </w:r>
        <w:r w:rsidR="003F7CC7">
          <w:rPr>
            <w:noProof/>
            <w:webHidden/>
          </w:rPr>
          <w:fldChar w:fldCharType="end"/>
        </w:r>
      </w:hyperlink>
    </w:p>
    <w:p w14:paraId="6F8F3979" w14:textId="4ECC5D82" w:rsidR="003F7CC7" w:rsidRDefault="002E51EC">
      <w:pPr>
        <w:pStyle w:val="Innehll3"/>
        <w:rPr>
          <w:rFonts w:asciiTheme="minorHAnsi" w:eastAsiaTheme="minorEastAsia" w:hAnsiTheme="minorHAnsi" w:cstheme="minorBidi"/>
          <w:noProof/>
          <w:sz w:val="22"/>
          <w:szCs w:val="22"/>
        </w:rPr>
      </w:pPr>
      <w:hyperlink w:anchor="_Toc93561714" w:history="1">
        <w:r w:rsidR="003F7CC7" w:rsidRPr="00B54A7E">
          <w:rPr>
            <w:rStyle w:val="Hyperlnk"/>
            <w:noProof/>
          </w:rPr>
          <w:t>2.1.1</w:t>
        </w:r>
        <w:r w:rsidR="003F7CC7">
          <w:rPr>
            <w:rFonts w:asciiTheme="minorHAnsi" w:eastAsiaTheme="minorEastAsia" w:hAnsiTheme="minorHAnsi" w:cstheme="minorBidi"/>
            <w:noProof/>
            <w:sz w:val="22"/>
            <w:szCs w:val="22"/>
          </w:rPr>
          <w:tab/>
        </w:r>
        <w:r w:rsidR="003F7CC7" w:rsidRPr="00B54A7E">
          <w:rPr>
            <w:rStyle w:val="Hyperlnk"/>
            <w:noProof/>
          </w:rPr>
          <w:t>Prioriterade åtgärder på nationell nivå</w:t>
        </w:r>
        <w:r w:rsidR="003F7CC7">
          <w:rPr>
            <w:noProof/>
            <w:webHidden/>
          </w:rPr>
          <w:tab/>
        </w:r>
        <w:r w:rsidR="003F7CC7">
          <w:rPr>
            <w:noProof/>
            <w:webHidden/>
          </w:rPr>
          <w:fldChar w:fldCharType="begin"/>
        </w:r>
        <w:r w:rsidR="003F7CC7">
          <w:rPr>
            <w:noProof/>
            <w:webHidden/>
          </w:rPr>
          <w:instrText xml:space="preserve"> PAGEREF _Toc93561714 \h </w:instrText>
        </w:r>
        <w:r w:rsidR="003F7CC7">
          <w:rPr>
            <w:noProof/>
            <w:webHidden/>
          </w:rPr>
        </w:r>
        <w:r w:rsidR="003F7CC7">
          <w:rPr>
            <w:noProof/>
            <w:webHidden/>
          </w:rPr>
          <w:fldChar w:fldCharType="separate"/>
        </w:r>
        <w:r w:rsidR="003F7CC7">
          <w:rPr>
            <w:noProof/>
            <w:webHidden/>
          </w:rPr>
          <w:t>17</w:t>
        </w:r>
        <w:r w:rsidR="003F7CC7">
          <w:rPr>
            <w:noProof/>
            <w:webHidden/>
          </w:rPr>
          <w:fldChar w:fldCharType="end"/>
        </w:r>
      </w:hyperlink>
    </w:p>
    <w:p w14:paraId="649CDBF4" w14:textId="1E609665" w:rsidR="003F7CC7" w:rsidRDefault="002E51EC">
      <w:pPr>
        <w:pStyle w:val="Innehll3"/>
        <w:rPr>
          <w:rFonts w:asciiTheme="minorHAnsi" w:eastAsiaTheme="minorEastAsia" w:hAnsiTheme="minorHAnsi" w:cstheme="minorBidi"/>
          <w:noProof/>
          <w:sz w:val="22"/>
          <w:szCs w:val="22"/>
        </w:rPr>
      </w:pPr>
      <w:hyperlink w:anchor="_Toc93561715" w:history="1">
        <w:r w:rsidR="003F7CC7" w:rsidRPr="00B54A7E">
          <w:rPr>
            <w:rStyle w:val="Hyperlnk"/>
            <w:noProof/>
          </w:rPr>
          <w:t>2.1.2</w:t>
        </w:r>
        <w:r w:rsidR="003F7CC7">
          <w:rPr>
            <w:rFonts w:asciiTheme="minorHAnsi" w:eastAsiaTheme="minorEastAsia" w:hAnsiTheme="minorHAnsi" w:cstheme="minorBidi"/>
            <w:noProof/>
            <w:sz w:val="22"/>
            <w:szCs w:val="22"/>
          </w:rPr>
          <w:tab/>
        </w:r>
        <w:r w:rsidR="003F7CC7" w:rsidRPr="00B54A7E">
          <w:rPr>
            <w:rStyle w:val="Hyperlnk"/>
            <w:noProof/>
          </w:rPr>
          <w:t>Prioriterade åtgärder på regional nivå</w:t>
        </w:r>
        <w:r w:rsidR="003F7CC7">
          <w:rPr>
            <w:noProof/>
            <w:webHidden/>
          </w:rPr>
          <w:tab/>
        </w:r>
        <w:r w:rsidR="003F7CC7">
          <w:rPr>
            <w:noProof/>
            <w:webHidden/>
          </w:rPr>
          <w:fldChar w:fldCharType="begin"/>
        </w:r>
        <w:r w:rsidR="003F7CC7">
          <w:rPr>
            <w:noProof/>
            <w:webHidden/>
          </w:rPr>
          <w:instrText xml:space="preserve"> PAGEREF _Toc93561715 \h </w:instrText>
        </w:r>
        <w:r w:rsidR="003F7CC7">
          <w:rPr>
            <w:noProof/>
            <w:webHidden/>
          </w:rPr>
        </w:r>
        <w:r w:rsidR="003F7CC7">
          <w:rPr>
            <w:noProof/>
            <w:webHidden/>
          </w:rPr>
          <w:fldChar w:fldCharType="separate"/>
        </w:r>
        <w:r w:rsidR="003F7CC7">
          <w:rPr>
            <w:noProof/>
            <w:webHidden/>
          </w:rPr>
          <w:t>20</w:t>
        </w:r>
        <w:r w:rsidR="003F7CC7">
          <w:rPr>
            <w:noProof/>
            <w:webHidden/>
          </w:rPr>
          <w:fldChar w:fldCharType="end"/>
        </w:r>
      </w:hyperlink>
    </w:p>
    <w:p w14:paraId="70AF095D" w14:textId="6BBBB5F2" w:rsidR="003F7CC7" w:rsidRDefault="002E51EC">
      <w:pPr>
        <w:pStyle w:val="Innehll3"/>
        <w:rPr>
          <w:rFonts w:asciiTheme="minorHAnsi" w:eastAsiaTheme="minorEastAsia" w:hAnsiTheme="minorHAnsi" w:cstheme="minorBidi"/>
          <w:noProof/>
          <w:sz w:val="22"/>
          <w:szCs w:val="22"/>
        </w:rPr>
      </w:pPr>
      <w:hyperlink w:anchor="_Toc93561716" w:history="1">
        <w:r w:rsidR="003F7CC7" w:rsidRPr="00B54A7E">
          <w:rPr>
            <w:rStyle w:val="Hyperlnk"/>
            <w:noProof/>
          </w:rPr>
          <w:t>2.1.3</w:t>
        </w:r>
        <w:r w:rsidR="003F7CC7">
          <w:rPr>
            <w:rFonts w:asciiTheme="minorHAnsi" w:eastAsiaTheme="minorEastAsia" w:hAnsiTheme="minorHAnsi" w:cstheme="minorBidi"/>
            <w:noProof/>
            <w:sz w:val="22"/>
            <w:szCs w:val="22"/>
          </w:rPr>
          <w:tab/>
        </w:r>
        <w:r w:rsidR="003F7CC7" w:rsidRPr="00B54A7E">
          <w:rPr>
            <w:rStyle w:val="Hyperlnk"/>
            <w:noProof/>
          </w:rPr>
          <w:t>Prioriterade åtgärder på lokal nivå</w:t>
        </w:r>
        <w:r w:rsidR="003F7CC7">
          <w:rPr>
            <w:noProof/>
            <w:webHidden/>
          </w:rPr>
          <w:tab/>
        </w:r>
        <w:r w:rsidR="003F7CC7">
          <w:rPr>
            <w:noProof/>
            <w:webHidden/>
          </w:rPr>
          <w:fldChar w:fldCharType="begin"/>
        </w:r>
        <w:r w:rsidR="003F7CC7">
          <w:rPr>
            <w:noProof/>
            <w:webHidden/>
          </w:rPr>
          <w:instrText xml:space="preserve"> PAGEREF _Toc93561716 \h </w:instrText>
        </w:r>
        <w:r w:rsidR="003F7CC7">
          <w:rPr>
            <w:noProof/>
            <w:webHidden/>
          </w:rPr>
        </w:r>
        <w:r w:rsidR="003F7CC7">
          <w:rPr>
            <w:noProof/>
            <w:webHidden/>
          </w:rPr>
          <w:fldChar w:fldCharType="separate"/>
        </w:r>
        <w:r w:rsidR="003F7CC7">
          <w:rPr>
            <w:noProof/>
            <w:webHidden/>
          </w:rPr>
          <w:t>23</w:t>
        </w:r>
        <w:r w:rsidR="003F7CC7">
          <w:rPr>
            <w:noProof/>
            <w:webHidden/>
          </w:rPr>
          <w:fldChar w:fldCharType="end"/>
        </w:r>
      </w:hyperlink>
    </w:p>
    <w:p w14:paraId="060719F1" w14:textId="4A1CAD6B" w:rsidR="003F7CC7" w:rsidRDefault="002E51EC">
      <w:pPr>
        <w:pStyle w:val="Innehll2"/>
        <w:rPr>
          <w:rFonts w:asciiTheme="minorHAnsi" w:eastAsiaTheme="minorEastAsia" w:hAnsiTheme="minorHAnsi" w:cstheme="minorBidi"/>
          <w:noProof/>
          <w:sz w:val="22"/>
          <w:szCs w:val="22"/>
        </w:rPr>
      </w:pPr>
      <w:hyperlink w:anchor="_Toc93561717" w:history="1">
        <w:r w:rsidR="003F7CC7" w:rsidRPr="00B54A7E">
          <w:rPr>
            <w:rStyle w:val="Hyperlnk"/>
            <w:noProof/>
          </w:rPr>
          <w:t>2.2</w:t>
        </w:r>
        <w:r w:rsidR="003F7CC7">
          <w:rPr>
            <w:rFonts w:asciiTheme="minorHAnsi" w:eastAsiaTheme="minorEastAsia" w:hAnsiTheme="minorHAnsi" w:cstheme="minorBidi"/>
            <w:noProof/>
            <w:sz w:val="22"/>
            <w:szCs w:val="22"/>
          </w:rPr>
          <w:tab/>
        </w:r>
        <w:r w:rsidR="003F7CC7" w:rsidRPr="00B54A7E">
          <w:rPr>
            <w:rStyle w:val="Hyperlnk"/>
            <w:noProof/>
          </w:rPr>
          <w:t>Fokusområde 2 – Utbildning, övning och utveckling</w:t>
        </w:r>
        <w:r w:rsidR="003F7CC7">
          <w:rPr>
            <w:noProof/>
            <w:webHidden/>
          </w:rPr>
          <w:tab/>
        </w:r>
        <w:r w:rsidR="003F7CC7">
          <w:rPr>
            <w:noProof/>
            <w:webHidden/>
          </w:rPr>
          <w:fldChar w:fldCharType="begin"/>
        </w:r>
        <w:r w:rsidR="003F7CC7">
          <w:rPr>
            <w:noProof/>
            <w:webHidden/>
          </w:rPr>
          <w:instrText xml:space="preserve"> PAGEREF _Toc93561717 \h </w:instrText>
        </w:r>
        <w:r w:rsidR="003F7CC7">
          <w:rPr>
            <w:noProof/>
            <w:webHidden/>
          </w:rPr>
        </w:r>
        <w:r w:rsidR="003F7CC7">
          <w:rPr>
            <w:noProof/>
            <w:webHidden/>
          </w:rPr>
          <w:fldChar w:fldCharType="separate"/>
        </w:r>
        <w:r w:rsidR="003F7CC7">
          <w:rPr>
            <w:noProof/>
            <w:webHidden/>
          </w:rPr>
          <w:t>25</w:t>
        </w:r>
        <w:r w:rsidR="003F7CC7">
          <w:rPr>
            <w:noProof/>
            <w:webHidden/>
          </w:rPr>
          <w:fldChar w:fldCharType="end"/>
        </w:r>
      </w:hyperlink>
    </w:p>
    <w:p w14:paraId="597AEE6B" w14:textId="0F4DD891" w:rsidR="003F7CC7" w:rsidRDefault="002E51EC">
      <w:pPr>
        <w:pStyle w:val="Innehll3"/>
        <w:rPr>
          <w:rFonts w:asciiTheme="minorHAnsi" w:eastAsiaTheme="minorEastAsia" w:hAnsiTheme="minorHAnsi" w:cstheme="minorBidi"/>
          <w:noProof/>
          <w:sz w:val="22"/>
          <w:szCs w:val="22"/>
        </w:rPr>
      </w:pPr>
      <w:hyperlink w:anchor="_Toc93561718" w:history="1">
        <w:r w:rsidR="003F7CC7" w:rsidRPr="00B54A7E">
          <w:rPr>
            <w:rStyle w:val="Hyperlnk"/>
            <w:noProof/>
          </w:rPr>
          <w:t>2.2.1</w:t>
        </w:r>
        <w:r w:rsidR="003F7CC7">
          <w:rPr>
            <w:rFonts w:asciiTheme="minorHAnsi" w:eastAsiaTheme="minorEastAsia" w:hAnsiTheme="minorHAnsi" w:cstheme="minorBidi"/>
            <w:noProof/>
            <w:sz w:val="22"/>
            <w:szCs w:val="22"/>
          </w:rPr>
          <w:tab/>
        </w:r>
        <w:r w:rsidR="003F7CC7" w:rsidRPr="00B54A7E">
          <w:rPr>
            <w:rStyle w:val="Hyperlnk"/>
            <w:noProof/>
          </w:rPr>
          <w:t>Prioriterade åtgärder på nationell nivå</w:t>
        </w:r>
        <w:r w:rsidR="003F7CC7">
          <w:rPr>
            <w:noProof/>
            <w:webHidden/>
          </w:rPr>
          <w:tab/>
        </w:r>
        <w:r w:rsidR="003F7CC7">
          <w:rPr>
            <w:noProof/>
            <w:webHidden/>
          </w:rPr>
          <w:fldChar w:fldCharType="begin"/>
        </w:r>
        <w:r w:rsidR="003F7CC7">
          <w:rPr>
            <w:noProof/>
            <w:webHidden/>
          </w:rPr>
          <w:instrText xml:space="preserve"> PAGEREF _Toc93561718 \h </w:instrText>
        </w:r>
        <w:r w:rsidR="003F7CC7">
          <w:rPr>
            <w:noProof/>
            <w:webHidden/>
          </w:rPr>
        </w:r>
        <w:r w:rsidR="003F7CC7">
          <w:rPr>
            <w:noProof/>
            <w:webHidden/>
          </w:rPr>
          <w:fldChar w:fldCharType="separate"/>
        </w:r>
        <w:r w:rsidR="003F7CC7">
          <w:rPr>
            <w:noProof/>
            <w:webHidden/>
          </w:rPr>
          <w:t>25</w:t>
        </w:r>
        <w:r w:rsidR="003F7CC7">
          <w:rPr>
            <w:noProof/>
            <w:webHidden/>
          </w:rPr>
          <w:fldChar w:fldCharType="end"/>
        </w:r>
      </w:hyperlink>
    </w:p>
    <w:p w14:paraId="5C195DBB" w14:textId="2A5DED45" w:rsidR="003F7CC7" w:rsidRDefault="002E51EC">
      <w:pPr>
        <w:pStyle w:val="Innehll3"/>
        <w:rPr>
          <w:rFonts w:asciiTheme="minorHAnsi" w:eastAsiaTheme="minorEastAsia" w:hAnsiTheme="minorHAnsi" w:cstheme="minorBidi"/>
          <w:noProof/>
          <w:sz w:val="22"/>
          <w:szCs w:val="22"/>
        </w:rPr>
      </w:pPr>
      <w:hyperlink w:anchor="_Toc93561719" w:history="1">
        <w:r w:rsidR="003F7CC7" w:rsidRPr="00B54A7E">
          <w:rPr>
            <w:rStyle w:val="Hyperlnk"/>
            <w:noProof/>
          </w:rPr>
          <w:t>2.2.3</w:t>
        </w:r>
        <w:r w:rsidR="003F7CC7">
          <w:rPr>
            <w:rFonts w:asciiTheme="minorHAnsi" w:eastAsiaTheme="minorEastAsia" w:hAnsiTheme="minorHAnsi" w:cstheme="minorBidi"/>
            <w:noProof/>
            <w:sz w:val="22"/>
            <w:szCs w:val="22"/>
          </w:rPr>
          <w:tab/>
        </w:r>
        <w:r w:rsidR="003F7CC7" w:rsidRPr="00B54A7E">
          <w:rPr>
            <w:rStyle w:val="Hyperlnk"/>
            <w:noProof/>
          </w:rPr>
          <w:t>Prioriterade åtgärder på regional nivå</w:t>
        </w:r>
        <w:r w:rsidR="003F7CC7">
          <w:rPr>
            <w:noProof/>
            <w:webHidden/>
          </w:rPr>
          <w:tab/>
        </w:r>
        <w:r w:rsidR="003F7CC7">
          <w:rPr>
            <w:noProof/>
            <w:webHidden/>
          </w:rPr>
          <w:fldChar w:fldCharType="begin"/>
        </w:r>
        <w:r w:rsidR="003F7CC7">
          <w:rPr>
            <w:noProof/>
            <w:webHidden/>
          </w:rPr>
          <w:instrText xml:space="preserve"> PAGEREF _Toc93561719 \h </w:instrText>
        </w:r>
        <w:r w:rsidR="003F7CC7">
          <w:rPr>
            <w:noProof/>
            <w:webHidden/>
          </w:rPr>
        </w:r>
        <w:r w:rsidR="003F7CC7">
          <w:rPr>
            <w:noProof/>
            <w:webHidden/>
          </w:rPr>
          <w:fldChar w:fldCharType="separate"/>
        </w:r>
        <w:r w:rsidR="003F7CC7">
          <w:rPr>
            <w:noProof/>
            <w:webHidden/>
          </w:rPr>
          <w:t>27</w:t>
        </w:r>
        <w:r w:rsidR="003F7CC7">
          <w:rPr>
            <w:noProof/>
            <w:webHidden/>
          </w:rPr>
          <w:fldChar w:fldCharType="end"/>
        </w:r>
      </w:hyperlink>
    </w:p>
    <w:p w14:paraId="542DA720" w14:textId="2C8031B4" w:rsidR="003F7CC7" w:rsidRDefault="002E51EC">
      <w:pPr>
        <w:pStyle w:val="Innehll3"/>
        <w:rPr>
          <w:rFonts w:asciiTheme="minorHAnsi" w:eastAsiaTheme="minorEastAsia" w:hAnsiTheme="minorHAnsi" w:cstheme="minorBidi"/>
          <w:noProof/>
          <w:sz w:val="22"/>
          <w:szCs w:val="22"/>
        </w:rPr>
      </w:pPr>
      <w:hyperlink w:anchor="_Toc93561720" w:history="1">
        <w:r w:rsidR="003F7CC7" w:rsidRPr="00B54A7E">
          <w:rPr>
            <w:rStyle w:val="Hyperlnk"/>
            <w:noProof/>
          </w:rPr>
          <w:t>2.2.5</w:t>
        </w:r>
        <w:r w:rsidR="003F7CC7">
          <w:rPr>
            <w:rFonts w:asciiTheme="minorHAnsi" w:eastAsiaTheme="minorEastAsia" w:hAnsiTheme="minorHAnsi" w:cstheme="minorBidi"/>
            <w:noProof/>
            <w:sz w:val="22"/>
            <w:szCs w:val="22"/>
          </w:rPr>
          <w:tab/>
        </w:r>
        <w:r w:rsidR="003F7CC7" w:rsidRPr="00B54A7E">
          <w:rPr>
            <w:rStyle w:val="Hyperlnk"/>
            <w:noProof/>
          </w:rPr>
          <w:t>Prioriterade åtgärder på lokal nivå</w:t>
        </w:r>
        <w:r w:rsidR="003F7CC7">
          <w:rPr>
            <w:noProof/>
            <w:webHidden/>
          </w:rPr>
          <w:tab/>
        </w:r>
        <w:r w:rsidR="003F7CC7">
          <w:rPr>
            <w:noProof/>
            <w:webHidden/>
          </w:rPr>
          <w:fldChar w:fldCharType="begin"/>
        </w:r>
        <w:r w:rsidR="003F7CC7">
          <w:rPr>
            <w:noProof/>
            <w:webHidden/>
          </w:rPr>
          <w:instrText xml:space="preserve"> PAGEREF _Toc93561720 \h </w:instrText>
        </w:r>
        <w:r w:rsidR="003F7CC7">
          <w:rPr>
            <w:noProof/>
            <w:webHidden/>
          </w:rPr>
        </w:r>
        <w:r w:rsidR="003F7CC7">
          <w:rPr>
            <w:noProof/>
            <w:webHidden/>
          </w:rPr>
          <w:fldChar w:fldCharType="separate"/>
        </w:r>
        <w:r w:rsidR="003F7CC7">
          <w:rPr>
            <w:noProof/>
            <w:webHidden/>
          </w:rPr>
          <w:t>29</w:t>
        </w:r>
        <w:r w:rsidR="003F7CC7">
          <w:rPr>
            <w:noProof/>
            <w:webHidden/>
          </w:rPr>
          <w:fldChar w:fldCharType="end"/>
        </w:r>
      </w:hyperlink>
    </w:p>
    <w:p w14:paraId="56D1C693" w14:textId="62CD56A6" w:rsidR="00063281" w:rsidRDefault="008839ED" w:rsidP="008D074B">
      <w:pPr>
        <w:pStyle w:val="Brdtext"/>
        <w:rPr>
          <w:rFonts w:ascii="Verdana" w:hAnsi="Verdana"/>
          <w:b/>
          <w:sz w:val="20"/>
        </w:rPr>
      </w:pPr>
      <w:r>
        <w:rPr>
          <w:rFonts w:ascii="Verdana" w:hAnsi="Verdana"/>
          <w:b/>
          <w:sz w:val="20"/>
        </w:rPr>
        <w:fldChar w:fldCharType="end"/>
      </w:r>
    </w:p>
    <w:p w14:paraId="48BBC979" w14:textId="77777777" w:rsidR="004C38BA" w:rsidRDefault="008D63A9" w:rsidP="00DF525D">
      <w:pPr>
        <w:pStyle w:val="Rubrik1"/>
      </w:pPr>
      <w:r>
        <w:br w:type="page"/>
      </w:r>
      <w:bookmarkStart w:id="4" w:name="_Toc93561705"/>
      <w:r w:rsidR="00435B8F" w:rsidRPr="00DF525D">
        <w:lastRenderedPageBreak/>
        <w:t>B</w:t>
      </w:r>
      <w:r w:rsidR="00926385" w:rsidRPr="00DF525D">
        <w:t>akgrund</w:t>
      </w:r>
      <w:r w:rsidR="00926385">
        <w:t xml:space="preserve"> </w:t>
      </w:r>
      <w:r w:rsidR="009D2048">
        <w:t>och syfte</w:t>
      </w:r>
      <w:bookmarkEnd w:id="4"/>
    </w:p>
    <w:p w14:paraId="672CF927" w14:textId="2FB8A0AE" w:rsidR="005953C2" w:rsidRDefault="00BE5764" w:rsidP="005953C2">
      <w:pPr>
        <w:pStyle w:val="Brdtext"/>
      </w:pPr>
      <w:r>
        <w:t>Sveriges strategi för oljeskadeskydd är de</w:t>
      </w:r>
      <w:r w:rsidR="00DC7F16">
        <w:t>n</w:t>
      </w:r>
      <w:r>
        <w:t xml:space="preserve"> övergripande, långsiktiga inriktningen för det gemensamma, nationella arbetet</w:t>
      </w:r>
      <w:r w:rsidR="00DC7F16">
        <w:t xml:space="preserve"> inom området</w:t>
      </w:r>
      <w:r>
        <w:t xml:space="preserve">. </w:t>
      </w:r>
      <w:r w:rsidR="00CA5D93">
        <w:t xml:space="preserve">Dess </w:t>
      </w:r>
      <w:r w:rsidR="00AB40EA">
        <w:t>h</w:t>
      </w:r>
      <w:r w:rsidR="00EB27A3">
        <w:t>andlingsplan har</w:t>
      </w:r>
      <w:r w:rsidR="00EB27A3" w:rsidRPr="00EB27A3">
        <w:t xml:space="preserve"> </w:t>
      </w:r>
      <w:r w:rsidR="00EB27A3">
        <w:t>utvecklats u</w:t>
      </w:r>
      <w:r>
        <w:t xml:space="preserve">tifrån </w:t>
      </w:r>
      <w:r w:rsidR="00EB27A3">
        <w:t xml:space="preserve">strategin </w:t>
      </w:r>
      <w:r>
        <w:t xml:space="preserve">och </w:t>
      </w:r>
      <w:r w:rsidR="00FB4372">
        <w:t xml:space="preserve">syftar till att konkretisera de </w:t>
      </w:r>
      <w:r w:rsidR="00FB4372" w:rsidRPr="00557C9C">
        <w:t>behov</w:t>
      </w:r>
      <w:r w:rsidR="00FB4372">
        <w:t xml:space="preserve"> som strategin anger samt att </w:t>
      </w:r>
      <w:r w:rsidR="00FB4372" w:rsidRPr="00557C9C">
        <w:t xml:space="preserve">prioritera </w:t>
      </w:r>
      <w:r w:rsidR="00FB4372">
        <w:t xml:space="preserve">det samlade </w:t>
      </w:r>
      <w:r w:rsidR="00FB4372" w:rsidRPr="00557C9C">
        <w:t>arbetet</w:t>
      </w:r>
      <w:r>
        <w:t xml:space="preserve">. </w:t>
      </w:r>
      <w:r w:rsidR="00B819B6">
        <w:t xml:space="preserve">Det strategiska arbetet inom oljeskadeskyddet är </w:t>
      </w:r>
      <w:r w:rsidR="004B4FBD">
        <w:t xml:space="preserve">i sin tur </w:t>
      </w:r>
      <w:r w:rsidR="005953C2">
        <w:t>en del av CBRNE</w:t>
      </w:r>
      <w:r w:rsidR="00C4194F">
        <w:t>-strategin</w:t>
      </w:r>
      <w:r w:rsidR="00C0026F">
        <w:rPr>
          <w:rStyle w:val="Fotnotsreferens"/>
        </w:rPr>
        <w:footnoteReference w:id="2"/>
      </w:r>
      <w:r w:rsidR="00C4194F">
        <w:t xml:space="preserve"> </w:t>
      </w:r>
      <w:r w:rsidR="005953C2">
        <w:rPr>
          <w:rStyle w:val="Fotnotsreferens"/>
        </w:rPr>
        <w:footnoteReference w:id="3"/>
      </w:r>
      <w:r w:rsidR="005953C2">
        <w:t>.</w:t>
      </w:r>
      <w:r w:rsidR="00370A45">
        <w:t xml:space="preserve"> </w:t>
      </w:r>
      <w:r w:rsidR="00E21DEF">
        <w:t xml:space="preserve">Detta är den andra </w:t>
      </w:r>
      <w:r w:rsidR="00D6621B">
        <w:t>reviderade handlingsplanen</w:t>
      </w:r>
      <w:r w:rsidR="006D39A6">
        <w:t xml:space="preserve"> </w:t>
      </w:r>
      <w:r w:rsidR="003E2C3A">
        <w:t>för Sveriges strategi för oljeskadeskydd.</w:t>
      </w:r>
      <w:r w:rsidR="00B035B7">
        <w:t xml:space="preserve"> </w:t>
      </w:r>
    </w:p>
    <w:p w14:paraId="435F30F9" w14:textId="003294E5" w:rsidR="002B15EB" w:rsidRDefault="002B15EB" w:rsidP="00D148C3">
      <w:pPr>
        <w:pStyle w:val="Brdtext"/>
      </w:pPr>
      <w:r w:rsidRPr="000377CB">
        <w:t>Strategin</w:t>
      </w:r>
      <w:r w:rsidRPr="00B43E8D">
        <w:t xml:space="preserve"> omfattar utsläpp till följd av avsiktliga och oavsiktliga handlingar</w:t>
      </w:r>
      <w:r>
        <w:t xml:space="preserve"> </w:t>
      </w:r>
      <w:r w:rsidRPr="00B43E8D">
        <w:t>såväl som händelser som inträffar utan mänsklig inverkan från fartyg i</w:t>
      </w:r>
      <w:r>
        <w:t xml:space="preserve"> </w:t>
      </w:r>
      <w:r w:rsidRPr="00B43E8D">
        <w:t xml:space="preserve">kommunalt och statligt ansvarsområde till sjöss, vilket omfattar </w:t>
      </w:r>
      <w:r w:rsidR="00BD3296">
        <w:t>Sveriges ansvarsområden i</w:t>
      </w:r>
      <w:r w:rsidR="00BD3296" w:rsidRPr="00B43E8D">
        <w:t xml:space="preserve"> </w:t>
      </w:r>
      <w:r w:rsidRPr="00B43E8D">
        <w:t xml:space="preserve">Östersjön, Västerhavet, Vänern, Vättern och Mälaren. </w:t>
      </w:r>
    </w:p>
    <w:p w14:paraId="35E69833" w14:textId="638AF382" w:rsidR="00D148C3" w:rsidRDefault="002E0B33" w:rsidP="00D148C3">
      <w:pPr>
        <w:pStyle w:val="Brdtext"/>
      </w:pPr>
      <w:r w:rsidRPr="00CA5D93">
        <w:t>S</w:t>
      </w:r>
      <w:r w:rsidR="000377CB" w:rsidRPr="00CA5D93">
        <w:t>ammantaget syftar s</w:t>
      </w:r>
      <w:r w:rsidRPr="00CA5D93">
        <w:t>trategin</w:t>
      </w:r>
      <w:r>
        <w:t xml:space="preserve"> </w:t>
      </w:r>
      <w:r w:rsidR="00D148C3">
        <w:t>till att vägleda aktörerna, utgöra underlag för långsiktig planering och skapa en gemensam grund för oljeskadeskyddet före, under och efter en händelse</w:t>
      </w:r>
      <w:r w:rsidR="00B819B6">
        <w:t xml:space="preserve"> med oljeutsläpp till sjöss</w:t>
      </w:r>
      <w:r w:rsidR="00D148C3">
        <w:t>. Allt arbete bidrar till den övergripande målbilden</w:t>
      </w:r>
      <w:r w:rsidR="00D148C3" w:rsidRPr="008A3ECA">
        <w:t xml:space="preserve">; </w:t>
      </w:r>
      <w:r w:rsidR="002701EF" w:rsidRPr="008A3ECA">
        <w:t xml:space="preserve">minimera miljöskada </w:t>
      </w:r>
      <w:r w:rsidR="00D148C3" w:rsidRPr="008A3ECA">
        <w:t>och</w:t>
      </w:r>
      <w:r w:rsidR="00D148C3">
        <w:t xml:space="preserve"> skada på andra samhällsvärden</w:t>
      </w:r>
      <w:r w:rsidR="00793AD9">
        <w:rPr>
          <w:rStyle w:val="Fotnotsreferens"/>
        </w:rPr>
        <w:footnoteReference w:id="4"/>
      </w:r>
      <w:r w:rsidR="00D148C3">
        <w:t>.</w:t>
      </w:r>
      <w:r w:rsidR="00AB40EA">
        <w:t xml:space="preserve"> Strategin ska kunna användas av alla svenska aktörer som är verksamma inom oljeskadeskyddet. Detta inkluderar en stor mängd aktörer från lokal till regional och </w:t>
      </w:r>
      <w:r w:rsidR="002701EF">
        <w:t>central</w:t>
      </w:r>
      <w:r w:rsidR="00AB40EA">
        <w:t xml:space="preserve"> </w:t>
      </w:r>
      <w:r w:rsidR="002701EF">
        <w:t>nivå</w:t>
      </w:r>
      <w:r w:rsidR="00AB40EA">
        <w:t xml:space="preserve"> i Sverige och inkluderar offentliga, privata och icke-statliga organisationsformer.  </w:t>
      </w:r>
    </w:p>
    <w:p w14:paraId="4205DB44" w14:textId="15012E31" w:rsidR="003327CA" w:rsidRDefault="00B23771" w:rsidP="001A7E41">
      <w:pPr>
        <w:pStyle w:val="Brdtext"/>
      </w:pPr>
      <w:r>
        <w:t>Det strategiska arbetet är aktörsgemensamt och framtaget av Nationell samverkansgrupp för oljeskadeskydd (NSO)</w:t>
      </w:r>
      <w:r w:rsidR="002B15EB">
        <w:rPr>
          <w:rStyle w:val="Fotnotsreferens"/>
        </w:rPr>
        <w:footnoteReference w:id="5"/>
      </w:r>
      <w:r>
        <w:t xml:space="preserve">. </w:t>
      </w:r>
      <w:r w:rsidR="009D2048" w:rsidRPr="00875F3F">
        <w:t>Figur</w:t>
      </w:r>
      <w:r w:rsidR="001012DC" w:rsidRPr="00875F3F">
        <w:t xml:space="preserve"> </w:t>
      </w:r>
      <w:r w:rsidR="009A6369" w:rsidRPr="00875F3F">
        <w:t>1</w:t>
      </w:r>
      <w:r w:rsidR="00D10D01">
        <w:t xml:space="preserve"> illustrerar det </w:t>
      </w:r>
      <w:r w:rsidR="00C52334">
        <w:t>strategiska</w:t>
      </w:r>
      <w:r w:rsidR="00D10D01">
        <w:t xml:space="preserve"> arbetet med oljeskadeskydd</w:t>
      </w:r>
      <w:r w:rsidR="00C52334">
        <w:t xml:space="preserve"> på nationell nivå</w:t>
      </w:r>
      <w:r w:rsidR="00D10D01">
        <w:t>.</w:t>
      </w:r>
      <w:r w:rsidR="00557C9C" w:rsidRPr="00557C9C">
        <w:t xml:space="preserve"> </w:t>
      </w:r>
    </w:p>
    <w:p w14:paraId="6273FDEB" w14:textId="77777777" w:rsidR="00421B34" w:rsidRDefault="00421B34" w:rsidP="00421B34"/>
    <w:p w14:paraId="16E1024E" w14:textId="77777777" w:rsidR="00421B34" w:rsidRDefault="00421B34" w:rsidP="00421B34">
      <w:pPr>
        <w:pStyle w:val="Brdtext"/>
        <w:rPr>
          <w:i/>
        </w:rPr>
      </w:pPr>
      <w:r w:rsidRPr="008B3C4C">
        <w:rPr>
          <w:i/>
          <w:noProof/>
        </w:rPr>
        <w:lastRenderedPageBreak/>
        <w:drawing>
          <wp:anchor distT="0" distB="0" distL="114300" distR="114300" simplePos="0" relativeHeight="251664386" behindDoc="0" locked="0" layoutInCell="1" allowOverlap="1" wp14:anchorId="729CA28C" wp14:editId="7E14D462">
            <wp:simplePos x="0" y="0"/>
            <wp:positionH relativeFrom="column">
              <wp:posOffset>1270</wp:posOffset>
            </wp:positionH>
            <wp:positionV relativeFrom="paragraph">
              <wp:posOffset>3175</wp:posOffset>
            </wp:positionV>
            <wp:extent cx="4318000" cy="2514600"/>
            <wp:effectExtent l="0" t="0" r="0" b="0"/>
            <wp:wrapTopAndBottom/>
            <wp:docPr id="7" name="Bildobjekt 7" descr="C:\Users\sondo\Documents\NSO\Riskbild-oljeolyckor-figu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do\Documents\NSO\Riskbild-oljeolyckor-figur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0" cy="2514600"/>
                    </a:xfrm>
                    <a:prstGeom prst="rect">
                      <a:avLst/>
                    </a:prstGeom>
                    <a:noFill/>
                    <a:ln>
                      <a:noFill/>
                    </a:ln>
                  </pic:spPr>
                </pic:pic>
              </a:graphicData>
            </a:graphic>
          </wp:anchor>
        </w:drawing>
      </w:r>
    </w:p>
    <w:p w14:paraId="51222D52" w14:textId="2BC1E0FC" w:rsidR="00421B34" w:rsidRDefault="00421B34" w:rsidP="00421B34">
      <w:pPr>
        <w:pStyle w:val="Brdtext"/>
        <w:rPr>
          <w:i/>
        </w:rPr>
      </w:pPr>
      <w:r>
        <w:rPr>
          <w:i/>
        </w:rPr>
        <w:t xml:space="preserve">Figur 1. Den nationella processen för oljeskadeskydd består av riskbild, strategi, handlingsplan och samordning. </w:t>
      </w:r>
    </w:p>
    <w:p w14:paraId="27318B77" w14:textId="77777777" w:rsidR="00421B34" w:rsidRDefault="00421B34" w:rsidP="00421B34">
      <w:pPr>
        <w:pStyle w:val="Brdtext"/>
        <w:rPr>
          <w:i/>
        </w:rPr>
      </w:pPr>
    </w:p>
    <w:p w14:paraId="32C0248E" w14:textId="77777777" w:rsidR="00421B34" w:rsidRDefault="00421B34" w:rsidP="00421B34">
      <w:pPr>
        <w:pStyle w:val="Brdtext"/>
        <w:numPr>
          <w:ilvl w:val="0"/>
          <w:numId w:val="23"/>
        </w:numPr>
      </w:pPr>
      <w:r w:rsidRPr="00673E4B">
        <w:rPr>
          <w:i/>
        </w:rPr>
        <w:t>R</w:t>
      </w:r>
      <w:hyperlink r:id="rId15" w:history="1">
        <w:r w:rsidRPr="00673E4B">
          <w:rPr>
            <w:i/>
          </w:rPr>
          <w:t>iskbilden</w:t>
        </w:r>
      </w:hyperlink>
      <w:r>
        <w:t xml:space="preserve"> ger samlad översikt av riskerna för olyckor till sjöss och i de stora insjöarna nu och i framtiden och är ett aktörsgemensamt ingångsvärde till strategin. Den kan även användas som grund till risk- och sårbarhetsanalyser.</w:t>
      </w:r>
    </w:p>
    <w:p w14:paraId="10472AA3" w14:textId="77777777" w:rsidR="00421B34" w:rsidRDefault="00421B34" w:rsidP="00421B34">
      <w:pPr>
        <w:pStyle w:val="Brdtext"/>
        <w:numPr>
          <w:ilvl w:val="0"/>
          <w:numId w:val="23"/>
        </w:numPr>
      </w:pPr>
      <w:r w:rsidRPr="00673E4B">
        <w:rPr>
          <w:i/>
        </w:rPr>
        <w:t>Strategin</w:t>
      </w:r>
      <w:r>
        <w:t xml:space="preserve"> är antagen av NSO:s medlemsorganisationer och är styrande för det nationella arbetet med oljeskadeskydd. Det samlade nationella arbetet tar sin utgångspunkt i </w:t>
      </w:r>
      <w:r w:rsidRPr="00557C9C">
        <w:t xml:space="preserve">strategins </w:t>
      </w:r>
      <w:r>
        <w:t>elva målsättningar.</w:t>
      </w:r>
      <w:r w:rsidRPr="00557C9C">
        <w:t xml:space="preserve"> </w:t>
      </w:r>
    </w:p>
    <w:p w14:paraId="153B7AE5" w14:textId="77777777" w:rsidR="00421B34" w:rsidRDefault="00421B34" w:rsidP="00421B34">
      <w:pPr>
        <w:pStyle w:val="Brdtext"/>
        <w:numPr>
          <w:ilvl w:val="1"/>
          <w:numId w:val="23"/>
        </w:numPr>
      </w:pPr>
      <w:r>
        <w:rPr>
          <w:i/>
        </w:rPr>
        <w:t>U</w:t>
      </w:r>
      <w:r w:rsidRPr="00DF525D">
        <w:rPr>
          <w:i/>
        </w:rPr>
        <w:t>nderlagsrapporten</w:t>
      </w:r>
      <w:r>
        <w:t xml:space="preserve"> är mer fyllig och informativ och kan användas som komplement till strategin.</w:t>
      </w:r>
    </w:p>
    <w:p w14:paraId="25E66834" w14:textId="77777777" w:rsidR="00421B34" w:rsidRDefault="00421B34" w:rsidP="00421B34">
      <w:pPr>
        <w:pStyle w:val="Brdtext"/>
        <w:numPr>
          <w:ilvl w:val="0"/>
          <w:numId w:val="23"/>
        </w:numPr>
      </w:pPr>
      <w:r w:rsidRPr="00673E4B">
        <w:rPr>
          <w:i/>
        </w:rPr>
        <w:t>Handlingsplanen</w:t>
      </w:r>
      <w:r>
        <w:t xml:space="preserve"> består av förslag för genomförande av åtgärder och syftar till att konkretisera de </w:t>
      </w:r>
      <w:r w:rsidRPr="00557C9C">
        <w:t>behov</w:t>
      </w:r>
      <w:r>
        <w:t xml:space="preserve"> som strategin anger samt att </w:t>
      </w:r>
      <w:r w:rsidRPr="00557C9C">
        <w:t xml:space="preserve">prioritera </w:t>
      </w:r>
      <w:r>
        <w:t xml:space="preserve">det samlade </w:t>
      </w:r>
      <w:r w:rsidRPr="00557C9C">
        <w:t>arbetet</w:t>
      </w:r>
      <w:r>
        <w:t>. De prioriteringar som handlingsplanen anger ska vara realistiska och kunna utföras av berörda och ansvariga aktörer</w:t>
      </w:r>
      <w:r w:rsidRPr="00B51F98">
        <w:t xml:space="preserve"> </w:t>
      </w:r>
      <w:r>
        <w:t xml:space="preserve">under de närmaste åren. </w:t>
      </w:r>
    </w:p>
    <w:p w14:paraId="13385189" w14:textId="31E699CD" w:rsidR="00421B34" w:rsidRDefault="00421B34" w:rsidP="00421B34">
      <w:pPr>
        <w:pStyle w:val="Brdtext"/>
        <w:numPr>
          <w:ilvl w:val="0"/>
          <w:numId w:val="23"/>
        </w:numPr>
      </w:pPr>
      <w:r w:rsidRPr="00A01EEC">
        <w:rPr>
          <w:i/>
        </w:rPr>
        <w:t>Samordning</w:t>
      </w:r>
      <w:r>
        <w:t xml:space="preserve"> syftar till att hålla ihop och följa inriktningen för att nå målen i strategin. Vid den årliga nationella konferensen för oljeskadeskydd delges resultat och erfarenheter från det gångna året och förs en strategisk dialog.</w:t>
      </w:r>
      <w:r w:rsidR="008A3ECA">
        <w:t xml:space="preserve"> </w:t>
      </w:r>
    </w:p>
    <w:p w14:paraId="6955D355" w14:textId="77777777" w:rsidR="00421B34" w:rsidRDefault="00421B34" w:rsidP="001A7E41">
      <w:pPr>
        <w:pStyle w:val="Brdtext"/>
      </w:pPr>
    </w:p>
    <w:p w14:paraId="18D94A3B" w14:textId="77777777" w:rsidR="00421B34" w:rsidRDefault="00421B34" w:rsidP="001A7E41">
      <w:pPr>
        <w:pStyle w:val="Brdtext"/>
      </w:pPr>
    </w:p>
    <w:p w14:paraId="7D00FD44" w14:textId="0834A175" w:rsidR="005A61BD" w:rsidRDefault="005A61BD" w:rsidP="005A61BD">
      <w:pPr>
        <w:pStyle w:val="Rubrik2"/>
      </w:pPr>
      <w:bookmarkStart w:id="5" w:name="_Toc93561706"/>
      <w:r>
        <w:lastRenderedPageBreak/>
        <w:t>Revidering</w:t>
      </w:r>
      <w:bookmarkEnd w:id="5"/>
      <w:r>
        <w:t xml:space="preserve"> </w:t>
      </w:r>
    </w:p>
    <w:p w14:paraId="163435DC" w14:textId="0F0332B2" w:rsidR="001E323A" w:rsidRDefault="001E323A" w:rsidP="001A7E41">
      <w:pPr>
        <w:pStyle w:val="Brdtext"/>
      </w:pPr>
      <w:r>
        <w:t>NSO reviderar de strategiska dokumenten efter behov. Riskbilden har reviderats något oftare medan strategin är mer visionär och revideras mer sällan. D</w:t>
      </w:r>
      <w:r w:rsidR="004C0F09" w:rsidRPr="00CA5D93">
        <w:t>e</w:t>
      </w:r>
      <w:r>
        <w:t xml:space="preserve">tta är den </w:t>
      </w:r>
      <w:r w:rsidR="004C0F09" w:rsidRPr="00CA5D93">
        <w:t xml:space="preserve">andra </w:t>
      </w:r>
      <w:r>
        <w:t>upplagan</w:t>
      </w:r>
      <w:r w:rsidR="004C0F09" w:rsidRPr="00CA5D93">
        <w:t xml:space="preserve"> av </w:t>
      </w:r>
      <w:r>
        <w:t xml:space="preserve">strategins </w:t>
      </w:r>
      <w:r w:rsidR="004C0F09" w:rsidRPr="00CA5D93">
        <w:t>handlingsplan</w:t>
      </w:r>
      <w:r>
        <w:t xml:space="preserve">. Första upplagan utkom år 2016. </w:t>
      </w:r>
      <w:r w:rsidR="00425DDE">
        <w:t>Handlingsplanen ses över årligen och åtgärderna utvärderas och uppdateras minst vart fjärde år.</w:t>
      </w:r>
    </w:p>
    <w:p w14:paraId="73F12263" w14:textId="3C328FE2" w:rsidR="006B73AA" w:rsidRDefault="001E323A" w:rsidP="001A7E41">
      <w:pPr>
        <w:pStyle w:val="Brdtext"/>
      </w:pPr>
      <w:r>
        <w:t>Handlingsplanen</w:t>
      </w:r>
      <w:r w:rsidR="004C0F09" w:rsidRPr="00CA5D93">
        <w:t xml:space="preserve"> </w:t>
      </w:r>
      <w:r w:rsidR="004C0F09">
        <w:t>har utarbetats under 2021</w:t>
      </w:r>
      <w:r w:rsidR="006B73AA">
        <w:t xml:space="preserve"> av </w:t>
      </w:r>
      <w:r w:rsidR="006B73AA" w:rsidRPr="00CA5D93">
        <w:t>NSO tillsammans med</w:t>
      </w:r>
      <w:r w:rsidR="006B73AA">
        <w:t xml:space="preserve"> konsultstöd från</w:t>
      </w:r>
      <w:r w:rsidR="006B73AA" w:rsidRPr="00CA5D93">
        <w:t xml:space="preserve"> Attityd i Karlstad AB</w:t>
      </w:r>
      <w:r w:rsidR="006B73AA">
        <w:t xml:space="preserve"> som upphandlats av MSB</w:t>
      </w:r>
      <w:r w:rsidR="004C0F09">
        <w:t xml:space="preserve">. </w:t>
      </w:r>
    </w:p>
    <w:p w14:paraId="167E0B10" w14:textId="171A9D1D" w:rsidR="00636C90" w:rsidRDefault="001E323A" w:rsidP="001A7E41">
      <w:pPr>
        <w:pStyle w:val="Brdtext"/>
      </w:pPr>
      <w:r>
        <w:t xml:space="preserve">Som underlag för revideringen har </w:t>
      </w:r>
      <w:r w:rsidR="004C0F09">
        <w:t>en</w:t>
      </w:r>
      <w:r w:rsidR="00CA5D93" w:rsidRPr="00CA5D93">
        <w:t xml:space="preserve"> </w:t>
      </w:r>
      <w:r w:rsidR="00E80535" w:rsidRPr="00CA5D93">
        <w:t xml:space="preserve">kartläggning av </w:t>
      </w:r>
      <w:r w:rsidR="00CA5D93" w:rsidRPr="00CA5D93">
        <w:t xml:space="preserve">kommuners och läns </w:t>
      </w:r>
      <w:r w:rsidR="009537BF">
        <w:t xml:space="preserve">samlade </w:t>
      </w:r>
      <w:r w:rsidR="00CA5D93" w:rsidRPr="00CA5D93">
        <w:t xml:space="preserve">förmåga </w:t>
      </w:r>
      <w:r w:rsidR="00636C90">
        <w:t>tagits fram</w:t>
      </w:r>
      <w:r w:rsidR="00CA5D93">
        <w:rPr>
          <w:rStyle w:val="Fotnotsreferens"/>
        </w:rPr>
        <w:footnoteReference w:id="6"/>
      </w:r>
      <w:r w:rsidR="00CA5D93">
        <w:t>. Kartläggning</w:t>
      </w:r>
      <w:r w:rsidR="009537BF">
        <w:t>en</w:t>
      </w:r>
      <w:r w:rsidR="00CA5D93">
        <w:t xml:space="preserve"> genomfördes </w:t>
      </w:r>
      <w:r w:rsidR="006B73AA">
        <w:t xml:space="preserve">som en enkätundersökning </w:t>
      </w:r>
      <w:r w:rsidR="00AD789D">
        <w:t xml:space="preserve">under sommar-höst 2021 </w:t>
      </w:r>
      <w:r w:rsidR="00CA5D93">
        <w:t>där ett antal indikatorer följ</w:t>
      </w:r>
      <w:r w:rsidR="009537BF">
        <w:t>de</w:t>
      </w:r>
      <w:r w:rsidR="00CA5D93">
        <w:t xml:space="preserve">s upp som anses </w:t>
      </w:r>
      <w:r w:rsidR="00F95102">
        <w:t>grundläggande för förmåga</w:t>
      </w:r>
      <w:r w:rsidR="00552562">
        <w:t>n</w:t>
      </w:r>
      <w:r w:rsidR="00F95102">
        <w:t xml:space="preserve"> inom </w:t>
      </w:r>
      <w:r w:rsidR="00A165DE">
        <w:t>svenskt oljeskadeskydd</w:t>
      </w:r>
      <w:r w:rsidR="00636C90">
        <w:rPr>
          <w:rStyle w:val="Fotnotsreferens"/>
        </w:rPr>
        <w:footnoteReference w:id="7"/>
      </w:r>
      <w:r w:rsidR="00E80535" w:rsidRPr="00CA5D93">
        <w:t xml:space="preserve">. </w:t>
      </w:r>
    </w:p>
    <w:p w14:paraId="41058599" w14:textId="231459A9" w:rsidR="00F95102" w:rsidRDefault="004C0F09" w:rsidP="001A7E41">
      <w:pPr>
        <w:pStyle w:val="Brdtext"/>
      </w:pPr>
      <w:r>
        <w:t>Ett annat underlag är den</w:t>
      </w:r>
      <w:r w:rsidR="00E80535" w:rsidRPr="00CA5D93">
        <w:t xml:space="preserve"> </w:t>
      </w:r>
      <w:r w:rsidR="00F95102">
        <w:t>tvådelad</w:t>
      </w:r>
      <w:r>
        <w:t xml:space="preserve">e </w:t>
      </w:r>
      <w:r w:rsidR="00F95102">
        <w:t>digital</w:t>
      </w:r>
      <w:r>
        <w:t>a</w:t>
      </w:r>
      <w:r w:rsidR="00F95102">
        <w:t xml:space="preserve"> workshop</w:t>
      </w:r>
      <w:r>
        <w:t xml:space="preserve">en som genomfördes </w:t>
      </w:r>
      <w:r w:rsidR="00F95102">
        <w:t>i</w:t>
      </w:r>
      <w:r w:rsidR="00F95102" w:rsidRPr="00F95102">
        <w:t xml:space="preserve"> </w:t>
      </w:r>
      <w:r w:rsidR="00F95102" w:rsidRPr="00CA5D93">
        <w:t>september 2021</w:t>
      </w:r>
      <w:r>
        <w:t xml:space="preserve">. Workshopen </w:t>
      </w:r>
      <w:r w:rsidR="00F95102">
        <w:t>hade två teman/syften:</w:t>
      </w:r>
    </w:p>
    <w:p w14:paraId="739DDAA2" w14:textId="645FA453" w:rsidR="00F95102" w:rsidRDefault="00F95102" w:rsidP="00F95102">
      <w:pPr>
        <w:pStyle w:val="Brdtext"/>
        <w:numPr>
          <w:ilvl w:val="0"/>
          <w:numId w:val="87"/>
        </w:numPr>
      </w:pPr>
      <w:r>
        <w:t xml:space="preserve">Bakåtblickande: utvärdering av föregående </w:t>
      </w:r>
      <w:r w:rsidRPr="00CA5D93">
        <w:t>handlingsplan</w:t>
      </w:r>
      <w:r w:rsidR="006B73AA">
        <w:t>;</w:t>
      </w:r>
      <w:r>
        <w:t xml:space="preserve"> dels </w:t>
      </w:r>
      <w:r w:rsidR="006B73AA">
        <w:t xml:space="preserve">hur tidigare </w:t>
      </w:r>
      <w:r>
        <w:t>process</w:t>
      </w:r>
      <w:r w:rsidR="006B73AA">
        <w:t>er och metoder</w:t>
      </w:r>
      <w:r>
        <w:t xml:space="preserve"> </w:t>
      </w:r>
      <w:r w:rsidR="007A0F7F">
        <w:t>fungerat, dels</w:t>
      </w:r>
      <w:r>
        <w:t xml:space="preserve"> </w:t>
      </w:r>
      <w:r w:rsidR="006B73AA">
        <w:t xml:space="preserve">hur </w:t>
      </w:r>
      <w:r>
        <w:t>genomförande</w:t>
      </w:r>
      <w:r w:rsidR="006B73AA">
        <w:t xml:space="preserve">t av 2016-års </w:t>
      </w:r>
      <w:r>
        <w:t>åtgärder</w:t>
      </w:r>
      <w:r w:rsidR="006B73AA">
        <w:t xml:space="preserve"> löpt.</w:t>
      </w:r>
      <w:r>
        <w:t xml:space="preserve"> </w:t>
      </w:r>
    </w:p>
    <w:p w14:paraId="4DB89DE1" w14:textId="1DF315E0" w:rsidR="00F95102" w:rsidRDefault="00F95102" w:rsidP="00F95102">
      <w:pPr>
        <w:pStyle w:val="Brdtext"/>
        <w:numPr>
          <w:ilvl w:val="0"/>
          <w:numId w:val="87"/>
        </w:numPr>
      </w:pPr>
      <w:r>
        <w:t xml:space="preserve">Framåtblickande: fokus på formerna/processer </w:t>
      </w:r>
      <w:proofErr w:type="gramStart"/>
      <w:r w:rsidR="006B73AA">
        <w:t>framgent</w:t>
      </w:r>
      <w:proofErr w:type="gramEnd"/>
      <w:r w:rsidR="006B73AA">
        <w:t xml:space="preserve">, </w:t>
      </w:r>
      <w:r>
        <w:t xml:space="preserve">samt </w:t>
      </w:r>
      <w:r w:rsidR="004C0F09" w:rsidRPr="00CA5D93">
        <w:t>vilka behov</w:t>
      </w:r>
      <w:r w:rsidR="004C0F09">
        <w:t>/åtgärder</w:t>
      </w:r>
      <w:r w:rsidR="004C0F09" w:rsidRPr="00CA5D93">
        <w:t xml:space="preserve"> aktörerna gemensamt ser vara relevanta</w:t>
      </w:r>
      <w:r w:rsidR="006B73AA">
        <w:t>.</w:t>
      </w:r>
      <w:r w:rsidR="004C0F09" w:rsidRPr="00CA5D93">
        <w:t xml:space="preserve"> </w:t>
      </w:r>
    </w:p>
    <w:p w14:paraId="688B4F38" w14:textId="44B1BFF0" w:rsidR="00552562" w:rsidRDefault="006240E4" w:rsidP="001A7E41">
      <w:pPr>
        <w:pStyle w:val="Brdtext"/>
      </w:pPr>
      <w:r>
        <w:t xml:space="preserve">I </w:t>
      </w:r>
      <w:r w:rsidR="00191AD5">
        <w:t xml:space="preserve">den </w:t>
      </w:r>
      <w:r>
        <w:t>nya handlingsplanen ska</w:t>
      </w:r>
      <w:r w:rsidR="00552562" w:rsidRPr="00552562">
        <w:t xml:space="preserve"> åtgärderna vara mätbara</w:t>
      </w:r>
      <w:r w:rsidR="00552562">
        <w:t xml:space="preserve"> och h</w:t>
      </w:r>
      <w:r w:rsidR="00552562" w:rsidRPr="00552562">
        <w:t xml:space="preserve">andlingsplanen </w:t>
      </w:r>
      <w:r w:rsidR="00552562">
        <w:t>ska</w:t>
      </w:r>
      <w:r w:rsidR="00552562" w:rsidRPr="00552562">
        <w:t xml:space="preserve"> följas upp och vid behov revideras vart </w:t>
      </w:r>
      <w:r w:rsidR="00CE6804">
        <w:t>fjärde</w:t>
      </w:r>
      <w:r w:rsidR="00552562" w:rsidRPr="00552562">
        <w:t xml:space="preserve"> år.</w:t>
      </w:r>
      <w:r w:rsidR="00552562">
        <w:t xml:space="preserve"> </w:t>
      </w:r>
      <w:r>
        <w:t>De</w:t>
      </w:r>
      <w:r w:rsidR="00552562">
        <w:t xml:space="preserve"> prioriterade åtgärderna </w:t>
      </w:r>
      <w:r>
        <w:t xml:space="preserve">ska </w:t>
      </w:r>
      <w:r w:rsidR="00552562">
        <w:t xml:space="preserve">formuleras som </w:t>
      </w:r>
      <w:r>
        <w:t>särskilda</w:t>
      </w:r>
      <w:r w:rsidR="00552562">
        <w:t xml:space="preserve"> satsningar</w:t>
      </w:r>
      <w:r>
        <w:t xml:space="preserve"> och gärna genomföras i projektform - </w:t>
      </w:r>
      <w:r w:rsidR="00552562">
        <w:t>i motsats till ”linjearbete”</w:t>
      </w:r>
      <w:r>
        <w:t xml:space="preserve"> som är kontinuerligt och saknar slutdatum</w:t>
      </w:r>
      <w:r w:rsidR="00552562">
        <w:t xml:space="preserve">. Av den anledningen har </w:t>
      </w:r>
      <w:r w:rsidR="00552562" w:rsidRPr="00552562">
        <w:t>kommunikation och information</w:t>
      </w:r>
      <w:r w:rsidR="00552562">
        <w:t>, som var ett av tre prioriterade områdena i föregående handlingsplan strukits och istället förts över till NSO:s ordinarie arbetsprocesser</w:t>
      </w:r>
      <w:r>
        <w:t>, eller ”linjen”</w:t>
      </w:r>
      <w:r w:rsidR="00552562">
        <w:t>. NSO har</w:t>
      </w:r>
      <w:r w:rsidR="00421B34">
        <w:t xml:space="preserve"> tagit fram</w:t>
      </w:r>
      <w:r w:rsidR="00552562">
        <w:t xml:space="preserve"> en verksamhetslogik av </w:t>
      </w:r>
      <w:r>
        <w:t>dess</w:t>
      </w:r>
      <w:r w:rsidR="00552562">
        <w:t xml:space="preserve"> interna arbete vilket tydliggjort </w:t>
      </w:r>
      <w:r>
        <w:t xml:space="preserve">gruppens </w:t>
      </w:r>
      <w:r w:rsidR="00421B34">
        <w:t>linjearbete</w:t>
      </w:r>
      <w:r w:rsidR="009537BF" w:rsidRPr="009537BF">
        <w:t xml:space="preserve"> </w:t>
      </w:r>
      <w:r w:rsidR="009537BF">
        <w:t>och som beskrivs i avsnitt 1.4.</w:t>
      </w:r>
      <w:r w:rsidR="00421B34">
        <w:t xml:space="preserve"> </w:t>
      </w:r>
    </w:p>
    <w:p w14:paraId="72CE399B" w14:textId="0424915C" w:rsidR="00386BBE" w:rsidRDefault="00386BBE" w:rsidP="00DF525D">
      <w:pPr>
        <w:pStyle w:val="Rubrik2"/>
      </w:pPr>
      <w:bookmarkStart w:id="6" w:name="_Toc93561707"/>
      <w:r>
        <w:t>Avgränsning</w:t>
      </w:r>
      <w:bookmarkEnd w:id="6"/>
      <w:r w:rsidRPr="00B43E8D">
        <w:t xml:space="preserve"> </w:t>
      </w:r>
    </w:p>
    <w:p w14:paraId="6C84D968" w14:textId="5A6A6B32" w:rsidR="00B96542" w:rsidRDefault="00496D59" w:rsidP="00B96542">
      <w:pPr>
        <w:pStyle w:val="Brdtext"/>
      </w:pPr>
      <w:r w:rsidRPr="00B43E8D">
        <w:t>Avgränsningen har gjorts</w:t>
      </w:r>
      <w:r>
        <w:t xml:space="preserve"> </w:t>
      </w:r>
      <w:r w:rsidR="009537BF">
        <w:t>uti</w:t>
      </w:r>
      <w:r w:rsidRPr="00B43E8D">
        <w:t>från aktörernas behov av övergripande strategisk styrning.</w:t>
      </w:r>
      <w:r>
        <w:t xml:space="preserve"> </w:t>
      </w:r>
      <w:r w:rsidR="00B96542" w:rsidRPr="008B65D6">
        <w:t xml:space="preserve">Handlingsplanen är underordnad </w:t>
      </w:r>
      <w:r w:rsidR="002701EF" w:rsidRPr="008B65D6">
        <w:t>det ansvar och de krav som ställs på de olika aktörerna i lagar, förordningar och uppdragsbeskrivningar.</w:t>
      </w:r>
      <w:r w:rsidR="002701EF">
        <w:t xml:space="preserve"> </w:t>
      </w:r>
    </w:p>
    <w:p w14:paraId="2B49CFBC" w14:textId="77777777" w:rsidR="00E40B05" w:rsidRDefault="00552562" w:rsidP="00B96542">
      <w:pPr>
        <w:pStyle w:val="Brdtext"/>
      </w:pPr>
      <w:r>
        <w:t xml:space="preserve">Sedan strategin utkom 2014 har riskbilden </w:t>
      </w:r>
      <w:r w:rsidR="00E320B0">
        <w:t xml:space="preserve">för oljeutsläpp till sjöss </w:t>
      </w:r>
      <w:r w:rsidR="00F32DFE">
        <w:t>befunnit sig i en snabb förändring</w:t>
      </w:r>
      <w:r w:rsidR="00E320B0">
        <w:t>. Efter att svaveldirektivet trädde i kraft 2015 har nya</w:t>
      </w:r>
      <w:r>
        <w:t xml:space="preserve"> </w:t>
      </w:r>
      <w:r>
        <w:lastRenderedPageBreak/>
        <w:t>bränsle</w:t>
      </w:r>
      <w:r w:rsidR="00E320B0">
        <w:t xml:space="preserve">produkter </w:t>
      </w:r>
      <w:r>
        <w:t>ersatt de</w:t>
      </w:r>
      <w:r w:rsidR="00F32DFE">
        <w:t>n</w:t>
      </w:r>
      <w:r>
        <w:t xml:space="preserve"> gamla </w:t>
      </w:r>
      <w:r w:rsidR="00F32DFE">
        <w:t xml:space="preserve">tjockoljan (HFO) </w:t>
      </w:r>
      <w:r w:rsidR="00E320B0">
        <w:t>och sjöfarten befinner sig fortsatt i en omställning där fossil</w:t>
      </w:r>
      <w:r w:rsidR="00CE0BDE">
        <w:t xml:space="preserve">a kolväten </w:t>
      </w:r>
      <w:r w:rsidR="00E320B0">
        <w:t xml:space="preserve">ska fasas ut. </w:t>
      </w:r>
      <w:r w:rsidR="00F32DFE">
        <w:t xml:space="preserve">I en </w:t>
      </w:r>
      <w:r w:rsidR="00E320B0">
        <w:t>övergångs</w:t>
      </w:r>
      <w:r w:rsidR="00F32DFE">
        <w:t xml:space="preserve">period fram till 2050 </w:t>
      </w:r>
      <w:r w:rsidR="00CE0BDE">
        <w:t>väntas</w:t>
      </w:r>
      <w:r w:rsidR="00E320B0">
        <w:t xml:space="preserve"> nya bränsleprodukter avlösa varandra. </w:t>
      </w:r>
      <w:r w:rsidR="00CE0BDE">
        <w:t>Men idag består brä</w:t>
      </w:r>
      <w:r w:rsidR="003F30C5">
        <w:t>ns</w:t>
      </w:r>
      <w:r w:rsidR="00CE0BDE">
        <w:t xml:space="preserve">lemarknaden av en </w:t>
      </w:r>
      <w:r w:rsidR="00BD3296">
        <w:t xml:space="preserve">stor </w:t>
      </w:r>
      <w:r w:rsidR="00CE0BDE">
        <w:t xml:space="preserve">mängd blandningar och produkter </w:t>
      </w:r>
      <w:r w:rsidR="00F32DFE">
        <w:t xml:space="preserve">och begreppet </w:t>
      </w:r>
      <w:r w:rsidR="00E320B0">
        <w:t>”olja”</w:t>
      </w:r>
      <w:r w:rsidR="001E323A">
        <w:t xml:space="preserve"> </w:t>
      </w:r>
      <w:r w:rsidR="00F32DFE">
        <w:t xml:space="preserve">blir allt mer </w:t>
      </w:r>
      <w:r w:rsidR="001E323A">
        <w:t xml:space="preserve">diversifierat och </w:t>
      </w:r>
      <w:r w:rsidR="00F32DFE">
        <w:t>o</w:t>
      </w:r>
      <w:r w:rsidR="00E320B0">
        <w:t>tydligt</w:t>
      </w:r>
      <w:r w:rsidR="001E323A">
        <w:t xml:space="preserve">. </w:t>
      </w:r>
      <w:r w:rsidR="00A34500">
        <w:t xml:space="preserve">I takt </w:t>
      </w:r>
      <w:r w:rsidR="00A34500" w:rsidRPr="00AD789D">
        <w:t xml:space="preserve">med </w:t>
      </w:r>
      <w:r w:rsidR="00A34500">
        <w:t xml:space="preserve">att fossila bränslen </w:t>
      </w:r>
      <w:r w:rsidR="00A34500" w:rsidRPr="00AD789D">
        <w:t>fas</w:t>
      </w:r>
      <w:r w:rsidR="00A34500">
        <w:t>as ut bör</w:t>
      </w:r>
      <w:r w:rsidR="00F32DFE">
        <w:t xml:space="preserve"> </w:t>
      </w:r>
      <w:r w:rsidR="00A34500">
        <w:t>begreppen</w:t>
      </w:r>
      <w:r w:rsidR="00E320B0">
        <w:t xml:space="preserve"> ”olja” och </w:t>
      </w:r>
      <w:r w:rsidR="00F32DFE">
        <w:t>”</w:t>
      </w:r>
      <w:r w:rsidR="00E320B0">
        <w:t>oljeskadeskydd</w:t>
      </w:r>
      <w:r w:rsidR="00F32DFE">
        <w:t>”</w:t>
      </w:r>
      <w:r w:rsidR="00E320B0">
        <w:t xml:space="preserve"> </w:t>
      </w:r>
      <w:r w:rsidR="001E323A">
        <w:t xml:space="preserve">tolkas något mer generöst än </w:t>
      </w:r>
      <w:r w:rsidR="00CE0BDE">
        <w:t xml:space="preserve">vad </w:t>
      </w:r>
      <w:r w:rsidR="001E323A">
        <w:t>strategin</w:t>
      </w:r>
      <w:r w:rsidR="00CE0BDE">
        <w:t xml:space="preserve"> gör gällande</w:t>
      </w:r>
      <w:r w:rsidR="00A34500">
        <w:t xml:space="preserve"> så att även andra</w:t>
      </w:r>
      <w:r w:rsidR="00CE0BDE">
        <w:t xml:space="preserve"> </w:t>
      </w:r>
      <w:r w:rsidR="001E323A">
        <w:t>skadliga ämnen från fartygsolyckor till sjöss inryms i arbetets omfattning.</w:t>
      </w:r>
      <w:r w:rsidR="00A34500">
        <w:t xml:space="preserve"> </w:t>
      </w:r>
    </w:p>
    <w:p w14:paraId="406DF08C" w14:textId="34287648" w:rsidR="00E40B05" w:rsidRDefault="00E40B05" w:rsidP="00E40B05">
      <w:pPr>
        <w:pStyle w:val="Brdtext"/>
      </w:pPr>
      <w:r>
        <w:t>Med skadliga ämnen avses ämnen som kan orsaka miljöskada baserat på ämnets egenskaper, utsläppets storlek, miljöns känslighet eller andra faktorer som innebär en oacceptabel skada på miljön. Vad som anses acceptabelt är i grunden en bedömningsfråga. Över tid har samhällets tolerans och acceptans minskat för föroreningar och miljöskadliga utsläpp till sjöss. För att upprätthålla arbetets relevans måste</w:t>
      </w:r>
      <w:r w:rsidR="00E01497">
        <w:t xml:space="preserve"> </w:t>
      </w:r>
      <w:r>
        <w:t>toleransnivån också återspeglas i</w:t>
      </w:r>
      <w:r w:rsidR="008B63C7">
        <w:t xml:space="preserve"> </w:t>
      </w:r>
      <w:r>
        <w:t>avgränsning</w:t>
      </w:r>
      <w:r w:rsidR="008B63C7">
        <w:t>arna</w:t>
      </w:r>
      <w:r>
        <w:t xml:space="preserve">. </w:t>
      </w:r>
    </w:p>
    <w:p w14:paraId="276EE872" w14:textId="57357088" w:rsidR="00875F3F" w:rsidRPr="00875F3F" w:rsidRDefault="00D47325" w:rsidP="00E40B05">
      <w:pPr>
        <w:pStyle w:val="Brdtext"/>
      </w:pPr>
      <w:r w:rsidRPr="00875F3F">
        <w:t xml:space="preserve">HELCOM samarbetet utgår från definitionen av skadliga ämnen från IMO, OPRC-HNS </w:t>
      </w:r>
      <w:proofErr w:type="spellStart"/>
      <w:r w:rsidRPr="00875F3F">
        <w:t>Protocol</w:t>
      </w:r>
      <w:proofErr w:type="spellEnd"/>
      <w:r>
        <w:rPr>
          <w:rStyle w:val="Fotnotsreferens"/>
        </w:rPr>
        <w:footnoteReference w:id="8"/>
      </w:r>
      <w:r w:rsidR="00875F3F">
        <w:t>:</w:t>
      </w:r>
    </w:p>
    <w:p w14:paraId="0CB5BD84" w14:textId="0C4FBB4A" w:rsidR="00875F3F" w:rsidRDefault="00D47325" w:rsidP="00E40B05">
      <w:pPr>
        <w:pStyle w:val="Brdtext"/>
        <w:rPr>
          <w:lang w:val="en-GB"/>
        </w:rPr>
      </w:pPr>
      <w:r w:rsidRPr="00E40B05">
        <w:rPr>
          <w:i/>
          <w:lang w:val="en-GB"/>
        </w:rPr>
        <w:t>For the purposes of the HNS Protocol, a Hazardous and Noxious Substance is defined as any substance other than oil which, if introduced into the marine environment is likely to create hazards to human health, to harm living resources and marine life, to damage amenities or to interfere with other legitimate uses of the sea.</w:t>
      </w:r>
      <w:r w:rsidR="00E40B05" w:rsidRPr="00E40B05">
        <w:rPr>
          <w:lang w:val="en-GB"/>
        </w:rPr>
        <w:t xml:space="preserve"> </w:t>
      </w:r>
    </w:p>
    <w:p w14:paraId="4B8D5A6F" w14:textId="31730612" w:rsidR="00D47325" w:rsidRPr="00875F3F" w:rsidRDefault="00E40B05" w:rsidP="00B96542">
      <w:pPr>
        <w:pStyle w:val="Brdtext"/>
      </w:pPr>
      <w:r w:rsidRPr="00875F3F">
        <w:t>HNS</w:t>
      </w:r>
      <w:r w:rsidR="00FD7A78">
        <w:t>-</w:t>
      </w:r>
      <w:r w:rsidRPr="00875F3F">
        <w:t>konventionen har</w:t>
      </w:r>
      <w:r w:rsidR="00421B34">
        <w:t xml:space="preserve"> ännu</w:t>
      </w:r>
      <w:r w:rsidRPr="00875F3F">
        <w:t xml:space="preserve"> inte ratificerats av Sverige. </w:t>
      </w:r>
    </w:p>
    <w:p w14:paraId="0A9437C2" w14:textId="77777777" w:rsidR="000E7E40" w:rsidRDefault="000E7E40" w:rsidP="000E7E40">
      <w:pPr>
        <w:pStyle w:val="Rubrik2"/>
      </w:pPr>
      <w:bookmarkStart w:id="7" w:name="_Toc93561708"/>
      <w:r>
        <w:t>Läsanvisningar</w:t>
      </w:r>
      <w:bookmarkEnd w:id="7"/>
    </w:p>
    <w:p w14:paraId="732BB7F5" w14:textId="77777777" w:rsidR="000E7E40" w:rsidRDefault="000E7E40" w:rsidP="000E7E40">
      <w:pPr>
        <w:rPr>
          <w:szCs w:val="21"/>
        </w:rPr>
      </w:pPr>
      <w:r>
        <w:rPr>
          <w:szCs w:val="21"/>
        </w:rPr>
        <w:t xml:space="preserve">För att handlingsplanen ska vara tillgänglig och tydlig har repetition från strategin och underlagsrapporten undvikits. Det innebär att handlingsplanen inte bör läsas isolerat, utan bör ses som en del av NSO:s strategiska dokument.  </w:t>
      </w:r>
      <w:r>
        <w:t xml:space="preserve">Dokumenten finns sammanställda i textrutan nedan och revideras kontinuerligt. Aktuell upplaga finns på </w:t>
      </w:r>
      <w:proofErr w:type="spellStart"/>
      <w:r>
        <w:t>MSB:s</w:t>
      </w:r>
      <w:proofErr w:type="spellEnd"/>
      <w:r>
        <w:t xml:space="preserve"> hemsida.</w:t>
      </w:r>
    </w:p>
    <w:p w14:paraId="6F3D31D4" w14:textId="77777777" w:rsidR="000E7E40" w:rsidRDefault="000E7E40" w:rsidP="000E7E40">
      <w:pPr>
        <w:rPr>
          <w:szCs w:val="21"/>
        </w:rPr>
      </w:pPr>
    </w:p>
    <w:p w14:paraId="19AD8DBA" w14:textId="77777777" w:rsidR="000E7E40" w:rsidRDefault="000E7E40" w:rsidP="000E7E40">
      <w:pPr>
        <w:rPr>
          <w:i/>
        </w:rPr>
      </w:pPr>
      <w:r>
        <w:t>I dokumentet benämns Sveriges strategi för oljeskadeskydd</w:t>
      </w:r>
      <w:r w:rsidRPr="00370A45">
        <w:rPr>
          <w:i/>
        </w:rPr>
        <w:t xml:space="preserve"> </w:t>
      </w:r>
      <w:r>
        <w:t>för</w:t>
      </w:r>
      <w:r w:rsidRPr="00370A45">
        <w:rPr>
          <w:i/>
        </w:rPr>
        <w:t xml:space="preserve"> </w:t>
      </w:r>
      <w:r w:rsidRPr="008E5BC0">
        <w:rPr>
          <w:i/>
        </w:rPr>
        <w:t>strategin</w:t>
      </w:r>
      <w:r>
        <w:rPr>
          <w:i/>
        </w:rPr>
        <w:t xml:space="preserve"> </w:t>
      </w:r>
      <w:r w:rsidRPr="00877B1A">
        <w:t>eller</w:t>
      </w:r>
      <w:r>
        <w:rPr>
          <w:i/>
        </w:rPr>
        <w:t xml:space="preserve"> det strategiska arbetet. </w:t>
      </w:r>
    </w:p>
    <w:p w14:paraId="3222C7DA" w14:textId="77777777" w:rsidR="000E7E40" w:rsidRDefault="000E7E40" w:rsidP="000E7E40">
      <w:pPr>
        <w:rPr>
          <w:i/>
        </w:rPr>
      </w:pPr>
    </w:p>
    <w:p w14:paraId="7B59C145" w14:textId="77777777" w:rsidR="000E7E40" w:rsidRPr="00146A4C" w:rsidRDefault="000E7E40" w:rsidP="000E7E40">
      <w:pPr>
        <w:rPr>
          <w:b/>
          <w:szCs w:val="21"/>
        </w:rPr>
      </w:pPr>
    </w:p>
    <w:p w14:paraId="3D58746B" w14:textId="77777777" w:rsidR="000E7E40" w:rsidRDefault="000E7E40" w:rsidP="000E7E40">
      <w:r>
        <w:rPr>
          <w:noProof/>
        </w:rPr>
        <w:lastRenderedPageBreak/>
        <mc:AlternateContent>
          <mc:Choice Requires="wps">
            <w:drawing>
              <wp:inline distT="0" distB="0" distL="0" distR="0" wp14:anchorId="480616F7" wp14:editId="2CABCE02">
                <wp:extent cx="4942936" cy="1828800"/>
                <wp:effectExtent l="0" t="0" r="10160" b="25400"/>
                <wp:docPr id="5" name="Textruta 5"/>
                <wp:cNvGraphicFramePr/>
                <a:graphic xmlns:a="http://schemas.openxmlformats.org/drawingml/2006/main">
                  <a:graphicData uri="http://schemas.microsoft.com/office/word/2010/wordprocessingShape">
                    <wps:wsp>
                      <wps:cNvSpPr txBox="1"/>
                      <wps:spPr>
                        <a:xfrm>
                          <a:off x="0" y="0"/>
                          <a:ext cx="4942936" cy="1828800"/>
                        </a:xfrm>
                        <a:prstGeom prst="rect">
                          <a:avLst/>
                        </a:prstGeom>
                        <a:noFill/>
                        <a:ln w="6350">
                          <a:solidFill>
                            <a:prstClr val="black"/>
                          </a:solidFill>
                        </a:ln>
                        <a:effectLst/>
                      </wps:spPr>
                      <wps:txbx>
                        <w:txbxContent>
                          <w:p w14:paraId="69CC5CD9" w14:textId="77777777" w:rsidR="002E51EC" w:rsidRPr="005548BB" w:rsidRDefault="002E51EC" w:rsidP="000E7E40">
                            <w:pPr>
                              <w:rPr>
                                <w:b/>
                              </w:rPr>
                            </w:pPr>
                            <w:r w:rsidRPr="005548BB">
                              <w:rPr>
                                <w:b/>
                              </w:rPr>
                              <w:t xml:space="preserve">NSO:s strategiska dokument </w:t>
                            </w:r>
                          </w:p>
                          <w:p w14:paraId="6012DB61" w14:textId="77777777" w:rsidR="002E51EC" w:rsidRPr="005548BB" w:rsidRDefault="002E51EC" w:rsidP="000E7E40">
                            <w:pPr>
                              <w:rPr>
                                <w:b/>
                              </w:rPr>
                            </w:pPr>
                          </w:p>
                          <w:p w14:paraId="4E76FD51" w14:textId="77777777" w:rsidR="002E51EC" w:rsidRPr="005548BB" w:rsidRDefault="002E51EC" w:rsidP="000E7E40">
                            <w:pPr>
                              <w:pStyle w:val="Liststycke"/>
                              <w:numPr>
                                <w:ilvl w:val="0"/>
                                <w:numId w:val="37"/>
                              </w:numPr>
                              <w:rPr>
                                <w:rFonts w:cs="SwiftCom-Regular"/>
                              </w:rPr>
                            </w:pPr>
                            <w:r w:rsidRPr="005548BB">
                              <w:rPr>
                                <w:rFonts w:cs="SwiftCom-Regular"/>
                              </w:rPr>
                              <w:t>Riskbild för oljeolyckor till sjöss i Sverige</w:t>
                            </w:r>
                            <w:r>
                              <w:rPr>
                                <w:rFonts w:cs="SwiftCom-Regular"/>
                              </w:rPr>
                              <w:t xml:space="preserve"> </w:t>
                            </w:r>
                            <w:r w:rsidRPr="005548BB">
                              <w:rPr>
                                <w:rFonts w:cs="SwiftCom-Regular"/>
                              </w:rPr>
                              <w:t>– En kunskapsöversikt för Östersjön, Västerhavet och Mälaren</w:t>
                            </w:r>
                          </w:p>
                          <w:p w14:paraId="45E0E78A" w14:textId="77777777" w:rsidR="002E51EC" w:rsidRPr="005548BB" w:rsidRDefault="002E51EC" w:rsidP="000E7E40">
                            <w:pPr>
                              <w:pStyle w:val="Liststycke"/>
                              <w:rPr>
                                <w:rFonts w:cs="SwiftCom-Regular"/>
                              </w:rPr>
                            </w:pPr>
                            <w:r w:rsidRPr="005548BB">
                              <w:rPr>
                                <w:rFonts w:cs="SwiftCom-Regular"/>
                              </w:rPr>
                              <w:t>Publ.nr: MSB</w:t>
                            </w:r>
                            <w:r>
                              <w:rPr>
                                <w:rFonts w:cs="SwiftCom-Regular"/>
                              </w:rPr>
                              <w:t>1643</w:t>
                            </w:r>
                            <w:r w:rsidRPr="005548BB">
                              <w:rPr>
                                <w:rFonts w:cs="SwiftCom-Regular"/>
                              </w:rPr>
                              <w:t xml:space="preserve"> (20</w:t>
                            </w:r>
                            <w:r>
                              <w:rPr>
                                <w:rFonts w:cs="SwiftCom-Regular"/>
                              </w:rPr>
                              <w:t>20</w:t>
                            </w:r>
                            <w:r w:rsidRPr="005548BB">
                              <w:rPr>
                                <w:rFonts w:cs="SwiftCom-Regular"/>
                              </w:rPr>
                              <w:t xml:space="preserve">) </w:t>
                            </w:r>
                          </w:p>
                          <w:p w14:paraId="601F6E2D" w14:textId="77777777" w:rsidR="002E51EC" w:rsidRPr="005548BB" w:rsidRDefault="002E51EC" w:rsidP="000E7E40">
                            <w:pPr>
                              <w:pStyle w:val="Liststycke"/>
                              <w:numPr>
                                <w:ilvl w:val="0"/>
                                <w:numId w:val="37"/>
                              </w:numPr>
                              <w:rPr>
                                <w:rFonts w:cs="SwiftCom-Regular"/>
                              </w:rPr>
                            </w:pPr>
                            <w:r w:rsidRPr="005548BB">
                              <w:rPr>
                                <w:rFonts w:cs="SwiftCom-Regular"/>
                              </w:rPr>
                              <w:t xml:space="preserve">Sveriges strategi för oljeskadeskydd. </w:t>
                            </w:r>
                            <w:r>
                              <w:rPr>
                                <w:rFonts w:cs="SwiftCom-Regular"/>
                              </w:rPr>
                              <w:t>(Styrande dokument)</w:t>
                            </w:r>
                          </w:p>
                          <w:p w14:paraId="30D29468" w14:textId="77777777" w:rsidR="002E51EC" w:rsidRPr="005548BB" w:rsidRDefault="002E51EC" w:rsidP="000E7E40">
                            <w:pPr>
                              <w:pStyle w:val="Liststycke"/>
                              <w:rPr>
                                <w:rFonts w:cs="SwiftCom-Regular"/>
                              </w:rPr>
                            </w:pPr>
                            <w:r w:rsidRPr="005548BB">
                              <w:rPr>
                                <w:rFonts w:cs="SwiftCom-Regular"/>
                              </w:rPr>
                              <w:t xml:space="preserve">Publ.nr: MSB701 (2014) </w:t>
                            </w:r>
                          </w:p>
                          <w:p w14:paraId="19942E61" w14:textId="77777777" w:rsidR="002E51EC" w:rsidRPr="005548BB" w:rsidRDefault="002E51EC" w:rsidP="000E7E40">
                            <w:pPr>
                              <w:pStyle w:val="Liststycke"/>
                              <w:numPr>
                                <w:ilvl w:val="0"/>
                                <w:numId w:val="37"/>
                              </w:numPr>
                              <w:rPr>
                                <w:rFonts w:cs="SwiftCom-Regular"/>
                              </w:rPr>
                            </w:pPr>
                            <w:r w:rsidRPr="005548BB">
                              <w:rPr>
                                <w:rFonts w:cs="SwiftCom-Regular"/>
                              </w:rPr>
                              <w:t xml:space="preserve">Sveriges strategi för oljeskadeskydd – Underlagsrapport </w:t>
                            </w:r>
                          </w:p>
                          <w:p w14:paraId="64C3F57C" w14:textId="77777777" w:rsidR="002E51EC" w:rsidRPr="005548BB" w:rsidRDefault="002E51EC" w:rsidP="000E7E40">
                            <w:pPr>
                              <w:pStyle w:val="Liststycke"/>
                              <w:rPr>
                                <w:rFonts w:cs="SwiftCom-Regular"/>
                              </w:rPr>
                            </w:pPr>
                            <w:r w:rsidRPr="005548BB">
                              <w:rPr>
                                <w:rFonts w:cs="SwiftCom-Regular"/>
                              </w:rPr>
                              <w:t xml:space="preserve">Publ.nr: MSB702 (2014) </w:t>
                            </w:r>
                          </w:p>
                          <w:p w14:paraId="4CAD835E" w14:textId="77777777" w:rsidR="002E51EC" w:rsidRPr="001E323A" w:rsidRDefault="002E51EC" w:rsidP="000E7E40">
                            <w:pPr>
                              <w:pStyle w:val="Liststycke"/>
                              <w:numPr>
                                <w:ilvl w:val="0"/>
                                <w:numId w:val="37"/>
                              </w:numPr>
                              <w:rPr>
                                <w:rFonts w:cs="SwiftCom-Regular"/>
                              </w:rPr>
                            </w:pPr>
                            <w:r w:rsidRPr="001E323A">
                              <w:rPr>
                                <w:rFonts w:cs="SwiftCom-Regular"/>
                              </w:rPr>
                              <w:t xml:space="preserve">Sveriges strategi för oljeskadeskydd – Handlingsplan </w:t>
                            </w:r>
                          </w:p>
                          <w:p w14:paraId="37958783" w14:textId="77777777" w:rsidR="002E51EC" w:rsidRPr="005548BB" w:rsidRDefault="002E51EC" w:rsidP="000E7E40">
                            <w:pPr>
                              <w:pStyle w:val="Liststycke"/>
                              <w:rPr>
                                <w:rFonts w:cs="SwiftCom-Regular"/>
                              </w:rPr>
                            </w:pPr>
                            <w:r w:rsidRPr="001E323A">
                              <w:rPr>
                                <w:rFonts w:cs="SwiftCom-Regular"/>
                              </w:rPr>
                              <w:t xml:space="preserve">Publ.nr: </w:t>
                            </w:r>
                            <w:r w:rsidRPr="001E323A">
                              <w:rPr>
                                <w:rFonts w:ascii="Calibri" w:hAnsi="Calibri" w:cs="Calibri"/>
                                <w:color w:val="000000"/>
                              </w:rPr>
                              <w:t>MSB1886</w:t>
                            </w:r>
                            <w:r w:rsidRPr="001E323A">
                              <w:rPr>
                                <w:rFonts w:cs="SwiftCom-Regular"/>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80616F7" id="_x0000_t202" coordsize="21600,21600" o:spt="202" path="m,l,21600r21600,l21600,xe">
                <v:stroke joinstyle="miter"/>
                <v:path gradientshapeok="t" o:connecttype="rect"/>
              </v:shapetype>
              <v:shape id="Textruta 5" o:spid="_x0000_s1026" type="#_x0000_t202" style="width:389.2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" filled="f" strokeweight=".5pt">
                <v:textbox style="mso-fit-shape-to-text:t">
                  <w:txbxContent>
                    <w:p w14:paraId="69CC5CD9" w14:textId="77777777" w:rsidR="002E51EC" w:rsidRPr="005548BB" w:rsidRDefault="002E51EC" w:rsidP="000E7E40">
                      <w:pPr>
                        <w:rPr>
                          <w:b/>
                        </w:rPr>
                      </w:pPr>
                      <w:r w:rsidRPr="005548BB">
                        <w:rPr>
                          <w:b/>
                        </w:rPr>
                        <w:t xml:space="preserve">NSO:s strategiska dokument </w:t>
                      </w:r>
                    </w:p>
                    <w:p w14:paraId="6012DB61" w14:textId="77777777" w:rsidR="002E51EC" w:rsidRPr="005548BB" w:rsidRDefault="002E51EC" w:rsidP="000E7E40">
                      <w:pPr>
                        <w:rPr>
                          <w:b/>
                        </w:rPr>
                      </w:pPr>
                    </w:p>
                    <w:p w14:paraId="4E76FD51" w14:textId="77777777" w:rsidR="002E51EC" w:rsidRPr="005548BB" w:rsidRDefault="002E51EC" w:rsidP="000E7E40">
                      <w:pPr>
                        <w:pStyle w:val="Liststycke"/>
                        <w:numPr>
                          <w:ilvl w:val="0"/>
                          <w:numId w:val="37"/>
                        </w:numPr>
                        <w:rPr>
                          <w:rFonts w:cs="SwiftCom-Regular"/>
                        </w:rPr>
                      </w:pPr>
                      <w:r w:rsidRPr="005548BB">
                        <w:rPr>
                          <w:rFonts w:cs="SwiftCom-Regular"/>
                        </w:rPr>
                        <w:t>Riskbild för oljeolyckor till sjöss i Sverige</w:t>
                      </w:r>
                      <w:r>
                        <w:rPr>
                          <w:rFonts w:cs="SwiftCom-Regular"/>
                        </w:rPr>
                        <w:t xml:space="preserve"> </w:t>
                      </w:r>
                      <w:r w:rsidRPr="005548BB">
                        <w:rPr>
                          <w:rFonts w:cs="SwiftCom-Regular"/>
                        </w:rPr>
                        <w:t>– En kunskapsöversikt för Östersjön, Västerhavet och Mälaren</w:t>
                      </w:r>
                    </w:p>
                    <w:p w14:paraId="45E0E78A" w14:textId="77777777" w:rsidR="002E51EC" w:rsidRPr="005548BB" w:rsidRDefault="002E51EC" w:rsidP="000E7E40">
                      <w:pPr>
                        <w:pStyle w:val="Liststycke"/>
                        <w:rPr>
                          <w:rFonts w:cs="SwiftCom-Regular"/>
                        </w:rPr>
                      </w:pPr>
                      <w:r w:rsidRPr="005548BB">
                        <w:rPr>
                          <w:rFonts w:cs="SwiftCom-Regular"/>
                        </w:rPr>
                        <w:t>Publ.nr: MSB</w:t>
                      </w:r>
                      <w:r>
                        <w:rPr>
                          <w:rFonts w:cs="SwiftCom-Regular"/>
                        </w:rPr>
                        <w:t>1643</w:t>
                      </w:r>
                      <w:r w:rsidRPr="005548BB">
                        <w:rPr>
                          <w:rFonts w:cs="SwiftCom-Regular"/>
                        </w:rPr>
                        <w:t xml:space="preserve"> (20</w:t>
                      </w:r>
                      <w:r>
                        <w:rPr>
                          <w:rFonts w:cs="SwiftCom-Regular"/>
                        </w:rPr>
                        <w:t>20</w:t>
                      </w:r>
                      <w:r w:rsidRPr="005548BB">
                        <w:rPr>
                          <w:rFonts w:cs="SwiftCom-Regular"/>
                        </w:rPr>
                        <w:t xml:space="preserve">) </w:t>
                      </w:r>
                    </w:p>
                    <w:p w14:paraId="601F6E2D" w14:textId="77777777" w:rsidR="002E51EC" w:rsidRPr="005548BB" w:rsidRDefault="002E51EC" w:rsidP="000E7E40">
                      <w:pPr>
                        <w:pStyle w:val="Liststycke"/>
                        <w:numPr>
                          <w:ilvl w:val="0"/>
                          <w:numId w:val="37"/>
                        </w:numPr>
                        <w:rPr>
                          <w:rFonts w:cs="SwiftCom-Regular"/>
                        </w:rPr>
                      </w:pPr>
                      <w:r w:rsidRPr="005548BB">
                        <w:rPr>
                          <w:rFonts w:cs="SwiftCom-Regular"/>
                        </w:rPr>
                        <w:t xml:space="preserve">Sveriges strategi för oljeskadeskydd. </w:t>
                      </w:r>
                      <w:r>
                        <w:rPr>
                          <w:rFonts w:cs="SwiftCom-Regular"/>
                        </w:rPr>
                        <w:t>(Styrande dokument)</w:t>
                      </w:r>
                    </w:p>
                    <w:p w14:paraId="30D29468" w14:textId="77777777" w:rsidR="002E51EC" w:rsidRPr="005548BB" w:rsidRDefault="002E51EC" w:rsidP="000E7E40">
                      <w:pPr>
                        <w:pStyle w:val="Liststycke"/>
                        <w:rPr>
                          <w:rFonts w:cs="SwiftCom-Regular"/>
                        </w:rPr>
                      </w:pPr>
                      <w:r w:rsidRPr="005548BB">
                        <w:rPr>
                          <w:rFonts w:cs="SwiftCom-Regular"/>
                        </w:rPr>
                        <w:t xml:space="preserve">Publ.nr: MSB701 (2014) </w:t>
                      </w:r>
                    </w:p>
                    <w:p w14:paraId="19942E61" w14:textId="77777777" w:rsidR="002E51EC" w:rsidRPr="005548BB" w:rsidRDefault="002E51EC" w:rsidP="000E7E40">
                      <w:pPr>
                        <w:pStyle w:val="Liststycke"/>
                        <w:numPr>
                          <w:ilvl w:val="0"/>
                          <w:numId w:val="37"/>
                        </w:numPr>
                        <w:rPr>
                          <w:rFonts w:cs="SwiftCom-Regular"/>
                        </w:rPr>
                      </w:pPr>
                      <w:r w:rsidRPr="005548BB">
                        <w:rPr>
                          <w:rFonts w:cs="SwiftCom-Regular"/>
                        </w:rPr>
                        <w:t xml:space="preserve">Sveriges strategi för oljeskadeskydd – Underlagsrapport </w:t>
                      </w:r>
                    </w:p>
                    <w:p w14:paraId="64C3F57C" w14:textId="77777777" w:rsidR="002E51EC" w:rsidRPr="005548BB" w:rsidRDefault="002E51EC" w:rsidP="000E7E40">
                      <w:pPr>
                        <w:pStyle w:val="Liststycke"/>
                        <w:rPr>
                          <w:rFonts w:cs="SwiftCom-Regular"/>
                        </w:rPr>
                      </w:pPr>
                      <w:r w:rsidRPr="005548BB">
                        <w:rPr>
                          <w:rFonts w:cs="SwiftCom-Regular"/>
                        </w:rPr>
                        <w:t xml:space="preserve">Publ.nr: MSB702 (2014) </w:t>
                      </w:r>
                    </w:p>
                    <w:p w14:paraId="4CAD835E" w14:textId="77777777" w:rsidR="002E51EC" w:rsidRPr="001E323A" w:rsidRDefault="002E51EC" w:rsidP="000E7E40">
                      <w:pPr>
                        <w:pStyle w:val="Liststycke"/>
                        <w:numPr>
                          <w:ilvl w:val="0"/>
                          <w:numId w:val="37"/>
                        </w:numPr>
                        <w:rPr>
                          <w:rFonts w:cs="SwiftCom-Regular"/>
                        </w:rPr>
                      </w:pPr>
                      <w:r w:rsidRPr="001E323A">
                        <w:rPr>
                          <w:rFonts w:cs="SwiftCom-Regular"/>
                        </w:rPr>
                        <w:t xml:space="preserve">Sveriges strategi för oljeskadeskydd – Handlingsplan </w:t>
                      </w:r>
                    </w:p>
                    <w:p w14:paraId="37958783" w14:textId="77777777" w:rsidR="002E51EC" w:rsidRPr="005548BB" w:rsidRDefault="002E51EC" w:rsidP="000E7E40">
                      <w:pPr>
                        <w:pStyle w:val="Liststycke"/>
                        <w:rPr>
                          <w:rFonts w:cs="SwiftCom-Regular"/>
                        </w:rPr>
                      </w:pPr>
                      <w:r w:rsidRPr="001E323A">
                        <w:rPr>
                          <w:rFonts w:cs="SwiftCom-Regular"/>
                        </w:rPr>
                        <w:t xml:space="preserve">Publ.nr: </w:t>
                      </w:r>
                      <w:r w:rsidRPr="001E323A">
                        <w:rPr>
                          <w:rFonts w:ascii="Calibri" w:hAnsi="Calibri" w:cs="Calibri"/>
                          <w:color w:val="000000"/>
                        </w:rPr>
                        <w:t>MSB1886</w:t>
                      </w:r>
                      <w:r w:rsidRPr="001E323A">
                        <w:rPr>
                          <w:rFonts w:cs="SwiftCom-Regular"/>
                        </w:rPr>
                        <w:t xml:space="preserve"> (2022)</w:t>
                      </w:r>
                    </w:p>
                  </w:txbxContent>
                </v:textbox>
                <w10:anchorlock/>
              </v:shape>
            </w:pict>
          </mc:Fallback>
        </mc:AlternateContent>
      </w:r>
    </w:p>
    <w:p w14:paraId="45E8B9F4" w14:textId="77777777" w:rsidR="00421B34" w:rsidRDefault="00421B34" w:rsidP="000E7E40"/>
    <w:p w14:paraId="4BA24759" w14:textId="6946383F" w:rsidR="000E7E40" w:rsidRDefault="000E7E40" w:rsidP="000E7E40">
      <w:r>
        <w:t xml:space="preserve">NSO förvaltar och ansvarar för revidering av de strategiska dokumenten som beskrivs ovan. En översyn görs </w:t>
      </w:r>
      <w:r w:rsidR="00834CE8">
        <w:t xml:space="preserve">årligen </w:t>
      </w:r>
      <w:r>
        <w:t xml:space="preserve">i samband med </w:t>
      </w:r>
      <w:r w:rsidR="00834CE8">
        <w:t>NSO:s</w:t>
      </w:r>
      <w:r>
        <w:t xml:space="preserve"> </w:t>
      </w:r>
      <w:r w:rsidR="00834CE8">
        <w:t>nationella</w:t>
      </w:r>
      <w:r>
        <w:t xml:space="preserve"> konferens</w:t>
      </w:r>
      <w:r w:rsidR="00834CE8">
        <w:t xml:space="preserve"> för oljeskadeskydd</w:t>
      </w:r>
      <w:r>
        <w:t>. Genom utvärdering och från uppmärksammade behov bedömer NSO när revidering av dokumenten är nödvändig, och i vilken omfattning.</w:t>
      </w:r>
      <w:r w:rsidR="00834CE8">
        <w:t xml:space="preserve"> </w:t>
      </w:r>
      <w:r>
        <w:t xml:space="preserve"> </w:t>
      </w:r>
      <w:bookmarkStart w:id="8" w:name="_GoBack"/>
      <w:bookmarkEnd w:id="8"/>
    </w:p>
    <w:p w14:paraId="459CA8AF" w14:textId="2B97EDC3" w:rsidR="000E7E40" w:rsidRPr="00B96542" w:rsidRDefault="000E7E40" w:rsidP="000E7E40">
      <w:pPr>
        <w:pStyle w:val="Brdtext"/>
      </w:pPr>
    </w:p>
    <w:p w14:paraId="235FDC74" w14:textId="05841D6F" w:rsidR="00333EB4" w:rsidRDefault="00DB112F" w:rsidP="00333EB4">
      <w:pPr>
        <w:pStyle w:val="Rubrik2"/>
      </w:pPr>
      <w:bookmarkStart w:id="9" w:name="_Toc93561709"/>
      <w:r>
        <w:t>NSO</w:t>
      </w:r>
      <w:r w:rsidR="00F161AF">
        <w:t>:s verksamhet</w:t>
      </w:r>
      <w:bookmarkEnd w:id="9"/>
      <w:r w:rsidR="00F161AF">
        <w:t xml:space="preserve"> </w:t>
      </w:r>
    </w:p>
    <w:p w14:paraId="38AA061F" w14:textId="34DEDA9E" w:rsidR="00DB112F" w:rsidRDefault="001A4D4A" w:rsidP="00333EB4">
      <w:pPr>
        <w:pStyle w:val="Rubrik3"/>
        <w:rPr>
          <w:rFonts w:asciiTheme="minorHAnsi" w:eastAsiaTheme="minorHAnsi" w:hAnsiTheme="minorHAnsi" w:cstheme="minorBidi"/>
          <w:bCs/>
          <w:sz w:val="23"/>
          <w:szCs w:val="23"/>
        </w:rPr>
      </w:pPr>
      <w:bookmarkStart w:id="10" w:name="_Toc93561710"/>
      <w:r>
        <w:rPr>
          <w:rFonts w:asciiTheme="minorHAnsi" w:eastAsiaTheme="minorHAnsi" w:hAnsiTheme="minorHAnsi" w:cstheme="minorBidi"/>
          <w:bCs/>
          <w:sz w:val="23"/>
          <w:szCs w:val="23"/>
        </w:rPr>
        <w:t>NSO:s historik och behovet av en v</w:t>
      </w:r>
      <w:r w:rsidR="00333EB4" w:rsidRPr="0058203D">
        <w:rPr>
          <w:rFonts w:asciiTheme="minorHAnsi" w:eastAsiaTheme="minorHAnsi" w:hAnsiTheme="minorHAnsi" w:cstheme="minorBidi"/>
          <w:bCs/>
          <w:sz w:val="23"/>
          <w:szCs w:val="23"/>
        </w:rPr>
        <w:t>erksamhets</w:t>
      </w:r>
      <w:r w:rsidR="00DB112F">
        <w:rPr>
          <w:rFonts w:asciiTheme="minorHAnsi" w:eastAsiaTheme="minorHAnsi" w:hAnsiTheme="minorHAnsi" w:cstheme="minorBidi"/>
          <w:bCs/>
          <w:sz w:val="23"/>
          <w:szCs w:val="23"/>
        </w:rPr>
        <w:t>logik</w:t>
      </w:r>
      <w:bookmarkEnd w:id="10"/>
      <w:r w:rsidR="00DB112F">
        <w:rPr>
          <w:rFonts w:asciiTheme="minorHAnsi" w:eastAsiaTheme="minorHAnsi" w:hAnsiTheme="minorHAnsi" w:cstheme="minorBidi"/>
          <w:bCs/>
          <w:sz w:val="23"/>
          <w:szCs w:val="23"/>
        </w:rPr>
        <w:t xml:space="preserve"> </w:t>
      </w:r>
    </w:p>
    <w:p w14:paraId="40B43077" w14:textId="6AA988FC" w:rsidR="00033A08" w:rsidRPr="00033A08" w:rsidRDefault="00547FBE" w:rsidP="00547FBE">
      <w:pPr>
        <w:pStyle w:val="Brdtext"/>
      </w:pPr>
      <w:r>
        <w:t xml:space="preserve">Sedan </w:t>
      </w:r>
      <w:r w:rsidR="00033A08">
        <w:t xml:space="preserve">tidigt </w:t>
      </w:r>
      <w:r w:rsidR="00960C55" w:rsidRPr="00834CE8">
        <w:t>1980</w:t>
      </w:r>
      <w:r w:rsidR="00033A08">
        <w:t xml:space="preserve">-tal </w:t>
      </w:r>
      <w:r>
        <w:t xml:space="preserve">har NSO bedrivit strategisk samverkan och utformat ett </w:t>
      </w:r>
      <w:r w:rsidRPr="001012DC">
        <w:t xml:space="preserve">antal </w:t>
      </w:r>
      <w:r>
        <w:t xml:space="preserve">aktörsgemensamma </w:t>
      </w:r>
      <w:r w:rsidRPr="001012DC">
        <w:t>strategidokument.</w:t>
      </w:r>
      <w:r>
        <w:t xml:space="preserve"> </w:t>
      </w:r>
      <w:r w:rsidR="00033A08">
        <w:t xml:space="preserve">1984 utkom den första strategin, </w:t>
      </w:r>
      <w:r w:rsidR="00033A08" w:rsidRPr="00033A08">
        <w:rPr>
          <w:i/>
        </w:rPr>
        <w:t>Inriktning av det svenska marina oljeskadeskyddet för 1990-talet</w:t>
      </w:r>
      <w:r w:rsidR="00033A08">
        <w:rPr>
          <w:i/>
        </w:rPr>
        <w:t xml:space="preserve">, </w:t>
      </w:r>
      <w:r w:rsidR="00033A08">
        <w:t xml:space="preserve">som lade grunden för oljeskadeskyddet </w:t>
      </w:r>
      <w:r w:rsidR="00E5298F">
        <w:t>som det i</w:t>
      </w:r>
      <w:r w:rsidR="00033A08">
        <w:t xml:space="preserve"> stor utsträckning </w:t>
      </w:r>
      <w:r w:rsidR="00E5298F">
        <w:t xml:space="preserve">ser ut </w:t>
      </w:r>
      <w:r w:rsidR="00033A08">
        <w:t>än idag.</w:t>
      </w:r>
      <w:r w:rsidR="00033A08" w:rsidRPr="00033A08">
        <w:t xml:space="preserve"> </w:t>
      </w:r>
      <w:r w:rsidR="00E5298F">
        <w:t xml:space="preserve">Det första </w:t>
      </w:r>
      <w:proofErr w:type="spellStart"/>
      <w:r w:rsidR="00E5298F">
        <w:t>i</w:t>
      </w:r>
      <w:r w:rsidR="00033A08">
        <w:t>nriktningsdokumentet</w:t>
      </w:r>
      <w:proofErr w:type="spellEnd"/>
      <w:r w:rsidR="00033A08">
        <w:t xml:space="preserve"> </w:t>
      </w:r>
      <w:r w:rsidR="00E5298F">
        <w:t>var en del av regeringens femåriga insatsprogram</w:t>
      </w:r>
      <w:r w:rsidR="00033A08">
        <w:t xml:space="preserve"> </w:t>
      </w:r>
      <w:r w:rsidR="00033A08" w:rsidRPr="00E5298F">
        <w:rPr>
          <w:i/>
        </w:rPr>
        <w:t>Teknik för oljebekämpning till sjöss samt bekämpning och sanering av olja i strandzonen</w:t>
      </w:r>
      <w:r w:rsidR="00033A08">
        <w:t xml:space="preserve"> (TOBOS 85)</w:t>
      </w:r>
      <w:r w:rsidR="00E5298F">
        <w:t xml:space="preserve"> som lade grunden till materiel och beredskap som idag finns hos Kustbevakningen och MSB</w:t>
      </w:r>
      <w:r w:rsidR="00033A08">
        <w:t>.</w:t>
      </w:r>
    </w:p>
    <w:p w14:paraId="115122E3" w14:textId="0884BCA1" w:rsidR="00547FBE" w:rsidRPr="001012DC" w:rsidRDefault="00033A08" w:rsidP="00547FBE">
      <w:pPr>
        <w:pStyle w:val="Brdtext"/>
      </w:pPr>
      <w:r>
        <w:t>Nationell s</w:t>
      </w:r>
      <w:r w:rsidR="00547FBE">
        <w:t>amverkansgrupp</w:t>
      </w:r>
      <w:r>
        <w:t xml:space="preserve"> för oljeskadeskydd (f.d. inriktningsgruppen) </w:t>
      </w:r>
      <w:r w:rsidR="00547FBE">
        <w:t>upprättades initialt på uppdrag av regeringen och fortsatte därefter på</w:t>
      </w:r>
      <w:r w:rsidR="00547FBE" w:rsidRPr="001012DC">
        <w:t xml:space="preserve"> uppdrag</w:t>
      </w:r>
      <w:r w:rsidR="00547FBE">
        <w:t xml:space="preserve"> av generaldirektören för Räddningsverket </w:t>
      </w:r>
      <w:r w:rsidR="00E5298F">
        <w:t xml:space="preserve">för att under </w:t>
      </w:r>
      <w:r w:rsidR="00547FBE">
        <w:t xml:space="preserve">00-talet </w:t>
      </w:r>
      <w:r w:rsidR="00E5298F">
        <w:t xml:space="preserve">fortsätta </w:t>
      </w:r>
      <w:r w:rsidR="00547FBE">
        <w:t>utifrån gemensam</w:t>
      </w:r>
      <w:r w:rsidR="00E5298F">
        <w:t>t</w:t>
      </w:r>
      <w:r w:rsidR="00547FBE">
        <w:t xml:space="preserve"> intresse</w:t>
      </w:r>
      <w:r w:rsidR="00E5298F">
        <w:t xml:space="preserve"> och </w:t>
      </w:r>
      <w:r w:rsidR="00547FBE">
        <w:t>konstaterat behov</w:t>
      </w:r>
      <w:r w:rsidR="00E5298F">
        <w:t xml:space="preserve">. Sedan dess saknas formaliserat </w:t>
      </w:r>
      <w:r w:rsidR="00E5298F" w:rsidRPr="001012DC">
        <w:t xml:space="preserve">uppdrag att </w:t>
      </w:r>
      <w:r w:rsidR="00E5298F">
        <w:t xml:space="preserve">bedriva samverkan inom oljeskadeskyddet och det finns ingen ”beställning” om att upprätthålla </w:t>
      </w:r>
      <w:r w:rsidR="00E5298F" w:rsidRPr="001012DC">
        <w:t>Sveriges strategi för oljeskadeskydd</w:t>
      </w:r>
      <w:r w:rsidR="00E5298F">
        <w:t xml:space="preserve">. </w:t>
      </w:r>
    </w:p>
    <w:p w14:paraId="4D011ED2" w14:textId="1BD6F230" w:rsidR="009B0031" w:rsidRDefault="00547FBE" w:rsidP="00547FBE">
      <w:pPr>
        <w:pStyle w:val="Brdtext"/>
      </w:pPr>
      <w:proofErr w:type="spellStart"/>
      <w:r>
        <w:t>MSB:s</w:t>
      </w:r>
      <w:proofErr w:type="spellEnd"/>
      <w:r>
        <w:t xml:space="preserve"> sammanhållande roll har fortsatt i samma anda som de tidiga regeringsuppdragen angav. Gruppen är unik inom krisberedskapen och få andra nätverk </w:t>
      </w:r>
      <w:r w:rsidR="009B0031">
        <w:t xml:space="preserve">kan luta sig mot en </w:t>
      </w:r>
      <w:r w:rsidR="00E5298F">
        <w:t>fyra decennier lång historik</w:t>
      </w:r>
      <w:r w:rsidR="009B0031">
        <w:t xml:space="preserve"> av nära samverkan</w:t>
      </w:r>
      <w:r w:rsidR="00E5298F">
        <w:t xml:space="preserve"> </w:t>
      </w:r>
      <w:r w:rsidR="009B0031">
        <w:t>inom ett sakområde</w:t>
      </w:r>
      <w:r w:rsidR="00E5298F">
        <w:t xml:space="preserve">. </w:t>
      </w:r>
      <w:r w:rsidR="009B0031">
        <w:t>Men d</w:t>
      </w:r>
      <w:r w:rsidRPr="001012DC">
        <w:t xml:space="preserve">e senaste åren </w:t>
      </w:r>
      <w:r>
        <w:t xml:space="preserve">har </w:t>
      </w:r>
      <w:r w:rsidRPr="001012DC">
        <w:t xml:space="preserve">NSO </w:t>
      </w:r>
      <w:r>
        <w:t xml:space="preserve">haft </w:t>
      </w:r>
      <w:r w:rsidRPr="001012DC">
        <w:t>en hög omsättning</w:t>
      </w:r>
      <w:r>
        <w:t xml:space="preserve"> av gruppens företrädare samt ansvariga chefer på myndigheterna</w:t>
      </w:r>
      <w:r w:rsidR="009B0031">
        <w:t xml:space="preserve"> och u</w:t>
      </w:r>
      <w:r w:rsidRPr="001012DC">
        <w:t>trymme</w:t>
      </w:r>
      <w:r>
        <w:t xml:space="preserve">t för </w:t>
      </w:r>
      <w:r w:rsidRPr="001012DC">
        <w:t xml:space="preserve">frivilliga åtaganden </w:t>
      </w:r>
      <w:r>
        <w:t>upplevs allmänt att krympa</w:t>
      </w:r>
      <w:r w:rsidR="009B0031">
        <w:t xml:space="preserve">. Trenden har </w:t>
      </w:r>
      <w:r w:rsidR="009B0031">
        <w:lastRenderedPageBreak/>
        <w:t xml:space="preserve">pågått </w:t>
      </w:r>
      <w:r>
        <w:t>under längre tid</w:t>
      </w:r>
      <w:r w:rsidR="009B0031">
        <w:t xml:space="preserve"> och för att säkerställa att NSO ska kunna fortsätta bedriva strategisk samverkan behöver gruppen </w:t>
      </w:r>
      <w:r w:rsidR="00515751">
        <w:t>ges</w:t>
      </w:r>
      <w:r w:rsidR="009B0031">
        <w:t xml:space="preserve"> förutsättningar i form av mandat och finansiering. </w:t>
      </w:r>
    </w:p>
    <w:p w14:paraId="07356AB6" w14:textId="4770AA35" w:rsidR="009B0031" w:rsidRDefault="009B0031" w:rsidP="009B0031">
      <w:pPr>
        <w:pStyle w:val="Brdtext"/>
      </w:pPr>
      <w:r>
        <w:t xml:space="preserve">Som </w:t>
      </w:r>
      <w:r w:rsidR="00515751">
        <w:t xml:space="preserve">underlag till </w:t>
      </w:r>
      <w:r>
        <w:t xml:space="preserve">diskussioner om eventuella uppdrag samt för att skapa tydlighet och </w:t>
      </w:r>
      <w:r w:rsidRPr="001012DC">
        <w:t xml:space="preserve">samsyn </w:t>
      </w:r>
      <w:r>
        <w:t>internt i NSO har en verksamhetslogik tagits fram under 2021. Verksamhetslogiken syftar till att tydliggöra NSO</w:t>
      </w:r>
      <w:r w:rsidR="00407B72">
        <w:t>:s</w:t>
      </w:r>
      <w:r>
        <w:t xml:space="preserve"> verksamhet så som de</w:t>
      </w:r>
      <w:r w:rsidR="00407B72">
        <w:t>n</w:t>
      </w:r>
      <w:r>
        <w:t xml:space="preserve"> ser ut idag. </w:t>
      </w:r>
      <w:r w:rsidR="004E4415">
        <w:t xml:space="preserve">Den </w:t>
      </w:r>
      <w:r w:rsidR="004E4415" w:rsidRPr="00834CE8">
        <w:t>används</w:t>
      </w:r>
      <w:r w:rsidR="004E4415">
        <w:t xml:space="preserve"> även</w:t>
      </w:r>
      <w:r w:rsidR="004E4415" w:rsidRPr="00834CE8">
        <w:t xml:space="preserve"> som utgångspunkt för gruppens prioriteringar</w:t>
      </w:r>
      <w:r w:rsidR="004E4415">
        <w:t xml:space="preserve">, kommunikationsstöd och </w:t>
      </w:r>
      <w:r w:rsidR="004E4415" w:rsidRPr="00834CE8">
        <w:t xml:space="preserve">analys av </w:t>
      </w:r>
      <w:r w:rsidR="004E4415">
        <w:t xml:space="preserve">den </w:t>
      </w:r>
      <w:r w:rsidR="004E4415" w:rsidRPr="00834CE8">
        <w:t>interna verksamhet</w:t>
      </w:r>
      <w:r w:rsidR="004E4415">
        <w:t xml:space="preserve">en. </w:t>
      </w:r>
    </w:p>
    <w:p w14:paraId="2FE9AE8B" w14:textId="0821193B" w:rsidR="002D7ABC" w:rsidRDefault="009B0031" w:rsidP="004E4415">
      <w:pPr>
        <w:pStyle w:val="Brdtext"/>
        <w:sectPr w:rsidR="002D7ABC" w:rsidSect="00A25400">
          <w:type w:val="continuous"/>
          <w:pgSz w:w="11906" w:h="16838" w:code="9"/>
          <w:pgMar w:top="2155" w:right="2268" w:bottom="1134" w:left="2268" w:header="567" w:footer="567" w:gutter="0"/>
          <w:cols w:space="708"/>
          <w:docGrid w:linePitch="360"/>
        </w:sectPr>
      </w:pPr>
      <w:r>
        <w:t>V</w:t>
      </w:r>
      <w:r w:rsidR="000B49F7">
        <w:t xml:space="preserve">erksamhetslogik är ett systematiskt sätt att beskriva verksamheters förutsättningar, genomförande och förväntade resultat. </w:t>
      </w:r>
      <w:r w:rsidR="00F161AF">
        <w:t>N</w:t>
      </w:r>
      <w:r w:rsidR="00F161AF" w:rsidRPr="001012DC">
        <w:t>är flera aktörer ska samverka för att nå ett gemensamt slutmål är verksamhetslogik till stöd</w:t>
      </w:r>
      <w:r w:rsidR="003A6921" w:rsidRPr="001012DC">
        <w:t xml:space="preserve"> genom att skapa </w:t>
      </w:r>
      <w:r w:rsidR="000B49F7">
        <w:t xml:space="preserve">överblick </w:t>
      </w:r>
      <w:r w:rsidR="003A6921">
        <w:t xml:space="preserve">och illustrera hur verksamheten hänger ihop. </w:t>
      </w:r>
      <w:r w:rsidR="00547FBE">
        <w:t>Metoden</w:t>
      </w:r>
      <w:r w:rsidR="00DB112F" w:rsidRPr="001012DC">
        <w:t xml:space="preserve"> kommer ursprungligen från utvärderingsforskningen där den utvecklats som ett utvärderingsstöd</w:t>
      </w:r>
      <w:r w:rsidR="001012DC">
        <w:t xml:space="preserve">. </w:t>
      </w:r>
      <w:r w:rsidR="00547FBE">
        <w:t>V</w:t>
      </w:r>
      <w:r w:rsidR="00547FBE" w:rsidRPr="001012DC">
        <w:t xml:space="preserve">erksamhetslogik </w:t>
      </w:r>
      <w:r w:rsidR="00DB112F" w:rsidRPr="001012DC">
        <w:t>rekommenderas av Ekonomistyrningsverket</w:t>
      </w:r>
      <w:r w:rsidR="003A6921" w:rsidRPr="001012DC">
        <w:rPr>
          <w:vertAlign w:val="superscript"/>
        </w:rPr>
        <w:footnoteReference w:id="9"/>
      </w:r>
      <w:r w:rsidR="001012DC">
        <w:t xml:space="preserve"> och</w:t>
      </w:r>
      <w:r w:rsidR="000B49F7" w:rsidRPr="001012DC">
        <w:t xml:space="preserve"> </w:t>
      </w:r>
      <w:r w:rsidR="001012DC">
        <w:t xml:space="preserve">riktar sig till </w:t>
      </w:r>
      <w:r w:rsidR="00EF1D2C">
        <w:t xml:space="preserve">myndigheter under regeringen </w:t>
      </w:r>
      <w:r w:rsidR="00EF1D2C" w:rsidRPr="00834CE8">
        <w:t>inklusive Regeringskansliet samt till myndigheter under riksdagen</w:t>
      </w:r>
      <w:r w:rsidR="004E4415">
        <w:t>.</w:t>
      </w:r>
      <w:r w:rsidR="0039191E">
        <w:t xml:space="preserve"> </w:t>
      </w:r>
    </w:p>
    <w:p w14:paraId="353619D7" w14:textId="0598906D" w:rsidR="007D5AE0" w:rsidRDefault="001F4ACE" w:rsidP="00DB112F">
      <w:pPr>
        <w:pStyle w:val="Brdtext"/>
        <w:rPr>
          <w:i/>
        </w:rPr>
        <w:sectPr w:rsidR="007D5AE0" w:rsidSect="0067489D">
          <w:pgSz w:w="16838" w:h="11906" w:orient="landscape" w:code="9"/>
          <w:pgMar w:top="2268" w:right="2155" w:bottom="2268" w:left="1134" w:header="567" w:footer="567" w:gutter="0"/>
          <w:cols w:space="708"/>
          <w:docGrid w:linePitch="360"/>
        </w:sectPr>
      </w:pPr>
      <w:r>
        <w:rPr>
          <w:noProof/>
        </w:rPr>
        <w:lastRenderedPageBreak/>
        <w:drawing>
          <wp:anchor distT="0" distB="0" distL="114300" distR="114300" simplePos="0" relativeHeight="251659266" behindDoc="0" locked="0" layoutInCell="1" allowOverlap="1" wp14:anchorId="1055B45D" wp14:editId="7DEF0CAA">
            <wp:simplePos x="0" y="0"/>
            <wp:positionH relativeFrom="margin">
              <wp:posOffset>283210</wp:posOffset>
            </wp:positionH>
            <wp:positionV relativeFrom="paragraph">
              <wp:posOffset>238</wp:posOffset>
            </wp:positionV>
            <wp:extent cx="8267560" cy="4650502"/>
            <wp:effectExtent l="0" t="0" r="635"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8280448" cy="4657752"/>
                    </a:xfrm>
                    <a:prstGeom prst="rect">
                      <a:avLst/>
                    </a:prstGeom>
                  </pic:spPr>
                </pic:pic>
              </a:graphicData>
            </a:graphic>
            <wp14:sizeRelH relativeFrom="margin">
              <wp14:pctWidth>0</wp14:pctWidth>
            </wp14:sizeRelH>
            <wp14:sizeRelV relativeFrom="margin">
              <wp14:pctHeight>0</wp14:pctHeight>
            </wp14:sizeRelV>
          </wp:anchor>
        </w:drawing>
      </w:r>
      <w:r w:rsidR="00DB112F" w:rsidRPr="00774707">
        <w:rPr>
          <w:i/>
        </w:rPr>
        <w:t>Figur</w:t>
      </w:r>
      <w:r w:rsidR="009A6369">
        <w:rPr>
          <w:i/>
        </w:rPr>
        <w:t xml:space="preserve"> 2</w:t>
      </w:r>
      <w:r w:rsidR="00DB112F" w:rsidRPr="00774707">
        <w:rPr>
          <w:i/>
        </w:rPr>
        <w:t xml:space="preserve">. Verksamhetslogik för NSO. </w:t>
      </w:r>
      <w:r w:rsidR="004E4415">
        <w:rPr>
          <w:i/>
        </w:rPr>
        <w:t xml:space="preserve"> </w:t>
      </w:r>
    </w:p>
    <w:p w14:paraId="55CE5501" w14:textId="38ECC45A" w:rsidR="009F0E81" w:rsidRDefault="00955FC1" w:rsidP="002D7ABC">
      <w:pPr>
        <w:pStyle w:val="Rubrik3"/>
        <w:rPr>
          <w:rFonts w:asciiTheme="minorHAnsi" w:eastAsiaTheme="minorHAnsi" w:hAnsiTheme="minorHAnsi" w:cstheme="minorBidi"/>
          <w:bCs/>
          <w:sz w:val="23"/>
          <w:szCs w:val="23"/>
        </w:rPr>
      </w:pPr>
      <w:bookmarkStart w:id="11" w:name="_Toc93561711"/>
      <w:r>
        <w:rPr>
          <w:rFonts w:asciiTheme="minorHAnsi" w:eastAsiaTheme="minorHAnsi" w:hAnsiTheme="minorHAnsi" w:cstheme="minorBidi"/>
          <w:bCs/>
          <w:sz w:val="23"/>
          <w:szCs w:val="23"/>
        </w:rPr>
        <w:lastRenderedPageBreak/>
        <w:t xml:space="preserve">Beskrivning av </w:t>
      </w:r>
      <w:r w:rsidR="00381F48" w:rsidRPr="0067489D">
        <w:rPr>
          <w:rFonts w:asciiTheme="minorHAnsi" w:eastAsiaTheme="minorHAnsi" w:hAnsiTheme="minorHAnsi" w:cstheme="minorBidi"/>
          <w:bCs/>
          <w:sz w:val="23"/>
          <w:szCs w:val="23"/>
        </w:rPr>
        <w:t>NSO:s aktiviteter</w:t>
      </w:r>
      <w:bookmarkEnd w:id="11"/>
      <w:r w:rsidR="00EE3120" w:rsidRPr="0067489D">
        <w:rPr>
          <w:rFonts w:asciiTheme="minorHAnsi" w:eastAsiaTheme="minorHAnsi" w:hAnsiTheme="minorHAnsi" w:cstheme="minorBidi"/>
          <w:bCs/>
          <w:sz w:val="23"/>
          <w:szCs w:val="23"/>
        </w:rPr>
        <w:t xml:space="preserve"> </w:t>
      </w:r>
    </w:p>
    <w:p w14:paraId="371CD6F2" w14:textId="04A2EE97" w:rsidR="003B143E" w:rsidRPr="00955FC1" w:rsidRDefault="003B143E" w:rsidP="003B143E">
      <w:pPr>
        <w:pStyle w:val="Brdtext"/>
        <w:rPr>
          <w:rFonts w:eastAsiaTheme="minorHAnsi"/>
        </w:rPr>
      </w:pPr>
      <w:r>
        <w:rPr>
          <w:rFonts w:eastAsiaTheme="minorHAnsi"/>
        </w:rPr>
        <w:t>I detta stycke ges en mer utförlig beskrivning av NSO:s aktiviteter som illustreras</w:t>
      </w:r>
      <w:r w:rsidR="00133E43">
        <w:rPr>
          <w:rFonts w:eastAsiaTheme="minorHAnsi"/>
        </w:rPr>
        <w:t xml:space="preserve"> </w:t>
      </w:r>
      <w:r>
        <w:rPr>
          <w:rFonts w:eastAsiaTheme="minorHAnsi"/>
        </w:rPr>
        <w:t>i verksamhetslogiken.</w:t>
      </w:r>
    </w:p>
    <w:p w14:paraId="7AA953E6" w14:textId="477999ED" w:rsidR="00825952" w:rsidRDefault="00133E43" w:rsidP="00955FC1">
      <w:pPr>
        <w:pStyle w:val="Brdtext"/>
        <w:rPr>
          <w:rFonts w:eastAsiaTheme="minorHAnsi"/>
        </w:rPr>
      </w:pPr>
      <w:r>
        <w:rPr>
          <w:rFonts w:eastAsiaTheme="minorHAnsi"/>
        </w:rPr>
        <w:t>I revideringen har e</w:t>
      </w:r>
      <w:r w:rsidR="00224817">
        <w:rPr>
          <w:rFonts w:eastAsiaTheme="minorHAnsi"/>
        </w:rPr>
        <w:t xml:space="preserve">n ansats gjorts för att </w:t>
      </w:r>
      <w:r w:rsidR="00D365BF">
        <w:rPr>
          <w:rFonts w:eastAsiaTheme="minorHAnsi"/>
        </w:rPr>
        <w:t xml:space="preserve">särskilja NSO:s löpande verksamhet, eller linjearbete, från </w:t>
      </w:r>
      <w:r w:rsidR="00224817">
        <w:rPr>
          <w:rFonts w:eastAsiaTheme="minorHAnsi"/>
        </w:rPr>
        <w:t xml:space="preserve">sådana </w:t>
      </w:r>
      <w:r w:rsidR="00D365BF">
        <w:rPr>
          <w:rFonts w:eastAsiaTheme="minorHAnsi"/>
        </w:rPr>
        <w:t xml:space="preserve">åtgärder som </w:t>
      </w:r>
      <w:r w:rsidR="00224817">
        <w:rPr>
          <w:rFonts w:eastAsiaTheme="minorHAnsi"/>
        </w:rPr>
        <w:t>kan ses som t</w:t>
      </w:r>
      <w:r w:rsidR="00D365BF">
        <w:rPr>
          <w:rFonts w:eastAsiaTheme="minorHAnsi"/>
        </w:rPr>
        <w:t>illfälliga satsningar.</w:t>
      </w:r>
      <w:r w:rsidR="00224817">
        <w:rPr>
          <w:rFonts w:eastAsiaTheme="minorHAnsi"/>
        </w:rPr>
        <w:t xml:space="preserve"> </w:t>
      </w:r>
      <w:r>
        <w:rPr>
          <w:rFonts w:eastAsiaTheme="minorHAnsi"/>
        </w:rPr>
        <w:t xml:space="preserve">I kapitel </w:t>
      </w:r>
      <w:r w:rsidRPr="00133E43">
        <w:rPr>
          <w:rFonts w:eastAsiaTheme="minorHAnsi"/>
          <w:i/>
        </w:rPr>
        <w:t>2</w:t>
      </w:r>
      <w:r>
        <w:rPr>
          <w:rFonts w:eastAsiaTheme="minorHAnsi"/>
          <w:i/>
        </w:rPr>
        <w:t xml:space="preserve"> –</w:t>
      </w:r>
      <w:r w:rsidRPr="00133E43">
        <w:rPr>
          <w:rFonts w:eastAsiaTheme="minorHAnsi"/>
          <w:i/>
        </w:rPr>
        <w:t xml:space="preserve"> Åtgärder för att uppnå strategins målsättningar</w:t>
      </w:r>
      <w:r>
        <w:rPr>
          <w:rFonts w:eastAsiaTheme="minorHAnsi"/>
        </w:rPr>
        <w:t xml:space="preserve"> </w:t>
      </w:r>
      <w:r w:rsidR="00825952">
        <w:rPr>
          <w:rFonts w:eastAsiaTheme="minorHAnsi"/>
        </w:rPr>
        <w:t>lista</w:t>
      </w:r>
      <w:r>
        <w:rPr>
          <w:rFonts w:eastAsiaTheme="minorHAnsi"/>
        </w:rPr>
        <w:t>s de</w:t>
      </w:r>
      <w:r w:rsidR="00825952">
        <w:rPr>
          <w:rFonts w:eastAsiaTheme="minorHAnsi"/>
        </w:rPr>
        <w:t xml:space="preserve"> åtgärder och satsningar som ska prioriteras</w:t>
      </w:r>
      <w:r>
        <w:rPr>
          <w:rFonts w:eastAsiaTheme="minorHAnsi"/>
        </w:rPr>
        <w:t xml:space="preserve"> under närmaste åren</w:t>
      </w:r>
      <w:r w:rsidR="00825952">
        <w:rPr>
          <w:rFonts w:eastAsiaTheme="minorHAnsi"/>
        </w:rPr>
        <w:t xml:space="preserve">. </w:t>
      </w:r>
      <w:r>
        <w:rPr>
          <w:rFonts w:eastAsiaTheme="minorHAnsi"/>
        </w:rPr>
        <w:t xml:space="preserve">Några av </w:t>
      </w:r>
      <w:r w:rsidR="00224817">
        <w:rPr>
          <w:rFonts w:eastAsiaTheme="minorHAnsi"/>
        </w:rPr>
        <w:t>åtgärder</w:t>
      </w:r>
      <w:r>
        <w:rPr>
          <w:rFonts w:eastAsiaTheme="minorHAnsi"/>
        </w:rPr>
        <w:t>na</w:t>
      </w:r>
      <w:r w:rsidR="00224817">
        <w:rPr>
          <w:rFonts w:eastAsiaTheme="minorHAnsi"/>
        </w:rPr>
        <w:t xml:space="preserve"> i </w:t>
      </w:r>
      <w:r>
        <w:rPr>
          <w:rFonts w:eastAsiaTheme="minorHAnsi"/>
        </w:rPr>
        <w:t xml:space="preserve">2016-års </w:t>
      </w:r>
      <w:r w:rsidR="00224817">
        <w:rPr>
          <w:rFonts w:eastAsiaTheme="minorHAnsi"/>
        </w:rPr>
        <w:t xml:space="preserve">handlingsplan </w:t>
      </w:r>
      <w:r w:rsidR="00825952">
        <w:rPr>
          <w:rFonts w:eastAsiaTheme="minorHAnsi"/>
        </w:rPr>
        <w:t xml:space="preserve">ansågs vara linjearbete </w:t>
      </w:r>
      <w:r>
        <w:rPr>
          <w:rFonts w:eastAsiaTheme="minorHAnsi"/>
        </w:rPr>
        <w:t xml:space="preserve">och ingår istället som </w:t>
      </w:r>
      <w:r w:rsidR="00825952">
        <w:rPr>
          <w:rFonts w:eastAsiaTheme="minorHAnsi"/>
        </w:rPr>
        <w:t>aktiviteter</w:t>
      </w:r>
      <w:r>
        <w:rPr>
          <w:rFonts w:eastAsiaTheme="minorHAnsi"/>
        </w:rPr>
        <w:t xml:space="preserve"> enligt Verksamhetslogiken</w:t>
      </w:r>
      <w:r w:rsidR="00224817">
        <w:rPr>
          <w:rFonts w:eastAsiaTheme="minorHAnsi"/>
        </w:rPr>
        <w:t xml:space="preserve">. Ett sådant exempel är </w:t>
      </w:r>
      <w:r w:rsidR="00825952">
        <w:rPr>
          <w:rFonts w:eastAsiaTheme="minorHAnsi"/>
        </w:rPr>
        <w:t xml:space="preserve">hela </w:t>
      </w:r>
      <w:r w:rsidR="0089381C">
        <w:rPr>
          <w:rFonts w:eastAsiaTheme="minorHAnsi"/>
        </w:rPr>
        <w:t>F</w:t>
      </w:r>
      <w:r w:rsidR="00224817">
        <w:rPr>
          <w:rFonts w:eastAsiaTheme="minorHAnsi"/>
        </w:rPr>
        <w:t>okusområde</w:t>
      </w:r>
      <w:r w:rsidR="00825952">
        <w:rPr>
          <w:rFonts w:eastAsiaTheme="minorHAnsi"/>
        </w:rPr>
        <w:t xml:space="preserve"> 3 - K</w:t>
      </w:r>
      <w:r w:rsidR="00224817">
        <w:rPr>
          <w:rFonts w:eastAsiaTheme="minorHAnsi"/>
        </w:rPr>
        <w:t>ommunikation och information</w:t>
      </w:r>
      <w:r w:rsidR="00825952">
        <w:rPr>
          <w:rFonts w:eastAsiaTheme="minorHAnsi"/>
        </w:rPr>
        <w:t xml:space="preserve">. </w:t>
      </w:r>
    </w:p>
    <w:p w14:paraId="7E404AC6" w14:textId="36AB0317" w:rsidR="00133E43" w:rsidRDefault="00133E43" w:rsidP="00955FC1">
      <w:pPr>
        <w:pStyle w:val="Brdtext"/>
        <w:rPr>
          <w:rFonts w:eastAsiaTheme="minorHAnsi"/>
        </w:rPr>
      </w:pPr>
      <w:r>
        <w:rPr>
          <w:rFonts w:eastAsiaTheme="minorHAnsi"/>
        </w:rPr>
        <w:t xml:space="preserve">Verksamhetslogiken har även två fristående pilar, en uppifrån för Internationell samverkan och en nerifrån med NSO:s värdegrund. </w:t>
      </w:r>
      <w:r w:rsidR="008A3A65">
        <w:rPr>
          <w:rFonts w:eastAsiaTheme="minorHAnsi"/>
        </w:rPr>
        <w:t xml:space="preserve">Pilarna </w:t>
      </w:r>
      <w:r w:rsidR="00053C1C">
        <w:rPr>
          <w:rFonts w:eastAsiaTheme="minorHAnsi"/>
        </w:rPr>
        <w:t>illustrerar</w:t>
      </w:r>
      <w:r w:rsidR="008A3A65">
        <w:rPr>
          <w:rFonts w:eastAsiaTheme="minorHAnsi"/>
        </w:rPr>
        <w:t xml:space="preserve"> att</w:t>
      </w:r>
      <w:r w:rsidR="00053C1C">
        <w:rPr>
          <w:rFonts w:eastAsiaTheme="minorHAnsi"/>
        </w:rPr>
        <w:t xml:space="preserve"> all</w:t>
      </w:r>
      <w:r w:rsidR="008A3A65">
        <w:rPr>
          <w:rFonts w:eastAsiaTheme="minorHAnsi"/>
        </w:rPr>
        <w:t xml:space="preserve"> </w:t>
      </w:r>
      <w:r>
        <w:rPr>
          <w:rFonts w:eastAsiaTheme="minorHAnsi"/>
        </w:rPr>
        <w:t>NSO:s verksamhet</w:t>
      </w:r>
      <w:r w:rsidR="00053C1C">
        <w:rPr>
          <w:rFonts w:eastAsiaTheme="minorHAnsi"/>
        </w:rPr>
        <w:t xml:space="preserve"> ska</w:t>
      </w:r>
      <w:r w:rsidR="008A3A65">
        <w:rPr>
          <w:rFonts w:eastAsiaTheme="minorHAnsi"/>
        </w:rPr>
        <w:t xml:space="preserve"> genomsyras</w:t>
      </w:r>
      <w:r w:rsidR="00053C1C">
        <w:rPr>
          <w:rFonts w:eastAsiaTheme="minorHAnsi"/>
        </w:rPr>
        <w:t xml:space="preserve"> av dessa grundläggande förutsättningar. </w:t>
      </w:r>
    </w:p>
    <w:tbl>
      <w:tblPr>
        <w:tblStyle w:val="Tabellrutnt"/>
        <w:tblW w:w="0" w:type="auto"/>
        <w:tblLook w:val="04A0" w:firstRow="1" w:lastRow="0" w:firstColumn="1" w:lastColumn="0" w:noHBand="0" w:noVBand="1"/>
      </w:tblPr>
      <w:tblGrid>
        <w:gridCol w:w="7360"/>
      </w:tblGrid>
      <w:tr w:rsidR="002379CA" w:rsidRPr="009C70B2" w14:paraId="14B3FE23" w14:textId="77777777" w:rsidTr="00CD0C48">
        <w:tc>
          <w:tcPr>
            <w:tcW w:w="7360" w:type="dxa"/>
            <w:tcBorders>
              <w:top w:val="nil"/>
              <w:left w:val="nil"/>
              <w:bottom w:val="nil"/>
              <w:right w:val="nil"/>
            </w:tcBorders>
            <w:shd w:val="clear" w:color="auto" w:fill="D51317"/>
          </w:tcPr>
          <w:p w14:paraId="045A3BC7" w14:textId="6B72D1C9" w:rsidR="002379CA" w:rsidRPr="002379CA" w:rsidRDefault="002379CA" w:rsidP="00CD0C48">
            <w:pPr>
              <w:pStyle w:val="Brdtext"/>
              <w:rPr>
                <w:rFonts w:eastAsiaTheme="minorHAnsi"/>
                <w:u w:val="single"/>
              </w:rPr>
            </w:pPr>
            <w:r w:rsidRPr="002379CA">
              <w:rPr>
                <w:b/>
                <w:bCs/>
              </w:rPr>
              <w:t>Internationell samverkan</w:t>
            </w:r>
          </w:p>
        </w:tc>
      </w:tr>
      <w:tr w:rsidR="002379CA" w:rsidRPr="002D7ABC" w14:paraId="6B8D14CB" w14:textId="77777777" w:rsidTr="00CD0C48">
        <w:tc>
          <w:tcPr>
            <w:tcW w:w="7360" w:type="dxa"/>
            <w:tcBorders>
              <w:top w:val="nil"/>
              <w:left w:val="nil"/>
              <w:bottom w:val="nil"/>
              <w:right w:val="nil"/>
            </w:tcBorders>
            <w:shd w:val="clear" w:color="auto" w:fill="auto"/>
          </w:tcPr>
          <w:p w14:paraId="7E9C399A" w14:textId="77777777" w:rsidR="002379CA" w:rsidRDefault="00CD0C48" w:rsidP="009537BF">
            <w:pPr>
              <w:pStyle w:val="Brdtext"/>
              <w:rPr>
                <w:rFonts w:ascii="Calibri" w:hAnsi="Calibri" w:cs="Calibri"/>
                <w:color w:val="000000"/>
              </w:rPr>
            </w:pPr>
            <w:r w:rsidRPr="008A3ECA">
              <w:rPr>
                <w:rFonts w:ascii="Calibri" w:hAnsi="Calibri" w:cs="Calibri"/>
                <w:color w:val="000000"/>
              </w:rPr>
              <w:t>Sjöfarten regleras typiskt genom internationella konventioner. För sjöfarten i Europa gäller också EU-gemensamma regler och direktiv. I tillägg är regionala överenskommelser inom till exempel östersjösamarbetet HELCOM viktiga för sjöfarten runt Sverige.</w:t>
            </w:r>
            <w:r w:rsidRPr="002379CA" w:rsidDel="00CD0C48">
              <w:rPr>
                <w:rFonts w:ascii="Calibri" w:hAnsi="Calibri" w:cs="Calibri"/>
                <w:color w:val="000000"/>
              </w:rPr>
              <w:t xml:space="preserve"> </w:t>
            </w:r>
            <w:r w:rsidR="002379CA" w:rsidRPr="002379CA">
              <w:rPr>
                <w:rFonts w:ascii="Calibri" w:hAnsi="Calibri" w:cs="Calibri"/>
                <w:color w:val="000000"/>
              </w:rPr>
              <w:t xml:space="preserve">Stora fartygsolyckor kräver också internationell samverkan vilket innebär att </w:t>
            </w:r>
            <w:r w:rsidR="009537BF">
              <w:rPr>
                <w:rFonts w:ascii="Calibri" w:hAnsi="Calibri" w:cs="Calibri"/>
                <w:color w:val="000000"/>
              </w:rPr>
              <w:t>detta</w:t>
            </w:r>
            <w:r w:rsidR="002379CA" w:rsidRPr="002379CA">
              <w:rPr>
                <w:rFonts w:ascii="Calibri" w:hAnsi="Calibri" w:cs="Calibri"/>
                <w:color w:val="000000"/>
              </w:rPr>
              <w:t xml:space="preserve"> behöver ingå som en naturlig del i den svenska oljeskyddsberedskapen</w:t>
            </w:r>
            <w:r w:rsidR="002379CA">
              <w:rPr>
                <w:rFonts w:ascii="Calibri" w:hAnsi="Calibri" w:cs="Calibri"/>
                <w:color w:val="000000"/>
              </w:rPr>
              <w:t>.</w:t>
            </w:r>
            <w:r w:rsidR="002E51EC">
              <w:rPr>
                <w:rFonts w:ascii="Calibri" w:hAnsi="Calibri" w:cs="Calibri"/>
                <w:color w:val="000000"/>
              </w:rPr>
              <w:t xml:space="preserve"> </w:t>
            </w:r>
          </w:p>
          <w:p w14:paraId="4331E0E2" w14:textId="221D8380" w:rsidR="002E51EC" w:rsidRPr="002D7ABC" w:rsidRDefault="002E51EC" w:rsidP="00C04D55">
            <w:pPr>
              <w:pStyle w:val="Brdtext"/>
              <w:rPr>
                <w:rFonts w:ascii="Calibri" w:hAnsi="Calibri" w:cs="Calibri"/>
                <w:color w:val="000000"/>
              </w:rPr>
            </w:pPr>
            <w:r>
              <w:rPr>
                <w:rFonts w:ascii="Calibri" w:hAnsi="Calibri" w:cs="Calibri"/>
                <w:color w:val="000000"/>
              </w:rPr>
              <w:t xml:space="preserve">Samtliga </w:t>
            </w:r>
            <w:r w:rsidR="00684741" w:rsidRPr="00C04D55">
              <w:rPr>
                <w:rFonts w:ascii="Calibri" w:hAnsi="Calibri" w:cs="Calibri"/>
                <w:color w:val="000000"/>
              </w:rPr>
              <w:t xml:space="preserve">länsstyrelser </w:t>
            </w:r>
            <w:r w:rsidR="00684741" w:rsidRPr="00C04D55">
              <w:rPr>
                <w:rFonts w:ascii="Calibri" w:hAnsi="Calibri" w:cs="Calibri"/>
                <w:color w:val="000000"/>
              </w:rPr>
              <w:t xml:space="preserve">och </w:t>
            </w:r>
            <w:r>
              <w:rPr>
                <w:rFonts w:ascii="Calibri" w:hAnsi="Calibri" w:cs="Calibri"/>
                <w:color w:val="000000"/>
              </w:rPr>
              <w:t xml:space="preserve">NSO myndigheter </w:t>
            </w:r>
            <w:r w:rsidR="00C04D55">
              <w:rPr>
                <w:rFonts w:ascii="Calibri" w:hAnsi="Calibri" w:cs="Calibri"/>
                <w:color w:val="000000"/>
              </w:rPr>
              <w:t>har fått i uppdrag av</w:t>
            </w:r>
            <w:r w:rsidR="00684741">
              <w:rPr>
                <w:rFonts w:ascii="Calibri" w:hAnsi="Calibri" w:cs="Calibri"/>
                <w:color w:val="000000"/>
              </w:rPr>
              <w:t xml:space="preserve"> regeringen </w:t>
            </w:r>
            <w:r>
              <w:rPr>
                <w:rFonts w:ascii="Calibri" w:hAnsi="Calibri" w:cs="Calibri"/>
                <w:color w:val="000000"/>
              </w:rPr>
              <w:t>att</w:t>
            </w:r>
            <w:r w:rsidR="00C04D55">
              <w:rPr>
                <w:rFonts w:ascii="Calibri" w:hAnsi="Calibri" w:cs="Calibri"/>
                <w:color w:val="000000"/>
              </w:rPr>
              <w:t>, utifrån sina verksamhetsområden, bidra till</w:t>
            </w:r>
            <w:r>
              <w:rPr>
                <w:rFonts w:ascii="Calibri" w:hAnsi="Calibri" w:cs="Calibri"/>
                <w:color w:val="000000"/>
              </w:rPr>
              <w:t xml:space="preserve"> implementer</w:t>
            </w:r>
            <w:r w:rsidR="00C04D55">
              <w:rPr>
                <w:rFonts w:ascii="Calibri" w:hAnsi="Calibri" w:cs="Calibri"/>
                <w:color w:val="000000"/>
              </w:rPr>
              <w:t xml:space="preserve">ingen av </w:t>
            </w:r>
            <w:r w:rsidRPr="002E51EC">
              <w:rPr>
                <w:rFonts w:ascii="Calibri" w:hAnsi="Calibri" w:cs="Calibri"/>
                <w:color w:val="000000"/>
              </w:rPr>
              <w:t>EU:s strategi för Östersjöregionen</w:t>
            </w:r>
            <w:r>
              <w:rPr>
                <w:rFonts w:ascii="Calibri" w:hAnsi="Calibri" w:cs="Calibri"/>
                <w:color w:val="000000"/>
              </w:rPr>
              <w:t xml:space="preserve"> (EUSBSR). Olj</w:t>
            </w:r>
            <w:r w:rsidR="00684741">
              <w:rPr>
                <w:rFonts w:ascii="Calibri" w:hAnsi="Calibri" w:cs="Calibri"/>
                <w:color w:val="000000"/>
              </w:rPr>
              <w:t xml:space="preserve">eskadeskyddet </w:t>
            </w:r>
            <w:r>
              <w:rPr>
                <w:rFonts w:ascii="Calibri" w:hAnsi="Calibri" w:cs="Calibri"/>
                <w:color w:val="000000"/>
              </w:rPr>
              <w:t xml:space="preserve">bidrar till </w:t>
            </w:r>
            <w:r w:rsidR="00684741">
              <w:rPr>
                <w:rFonts w:ascii="Calibri" w:hAnsi="Calibri" w:cs="Calibri"/>
                <w:color w:val="000000"/>
              </w:rPr>
              <w:t>flera av målen i Östersjöstrategin och har</w:t>
            </w:r>
            <w:r>
              <w:rPr>
                <w:rFonts w:ascii="Calibri" w:hAnsi="Calibri" w:cs="Calibri"/>
                <w:color w:val="000000"/>
              </w:rPr>
              <w:t xml:space="preserve"> därför en naturlig plats i</w:t>
            </w:r>
            <w:r w:rsidR="00684741">
              <w:rPr>
                <w:rFonts w:ascii="Calibri" w:hAnsi="Calibri" w:cs="Calibri"/>
                <w:color w:val="000000"/>
              </w:rPr>
              <w:t xml:space="preserve"> rapporteringen</w:t>
            </w:r>
            <w:r w:rsidR="00C04D55">
              <w:rPr>
                <w:rFonts w:ascii="Calibri" w:hAnsi="Calibri" w:cs="Calibri"/>
                <w:color w:val="000000"/>
              </w:rPr>
              <w:t xml:space="preserve"> </w:t>
            </w:r>
            <w:r w:rsidR="00C04D55">
              <w:rPr>
                <w:rFonts w:ascii="Calibri" w:hAnsi="Calibri" w:cs="Calibri"/>
                <w:color w:val="000000"/>
              </w:rPr>
              <w:t>till regeringen</w:t>
            </w:r>
            <w:r w:rsidR="00684741">
              <w:rPr>
                <w:rFonts w:ascii="Calibri" w:hAnsi="Calibri" w:cs="Calibri"/>
                <w:color w:val="000000"/>
              </w:rPr>
              <w:t xml:space="preserve">. NSO har verkat för samordnade budskap och EUSBSR har </w:t>
            </w:r>
            <w:r w:rsidR="00684741">
              <w:rPr>
                <w:rFonts w:ascii="Calibri" w:hAnsi="Calibri" w:cs="Calibri"/>
                <w:color w:val="000000"/>
              </w:rPr>
              <w:t xml:space="preserve">därför </w:t>
            </w:r>
            <w:r w:rsidR="00684741">
              <w:rPr>
                <w:rFonts w:ascii="Calibri" w:hAnsi="Calibri" w:cs="Calibri"/>
                <w:color w:val="000000"/>
              </w:rPr>
              <w:t xml:space="preserve">varit en återkommande punkt på NSO:s årliga konferens för oljeskadeskydd. </w:t>
            </w:r>
          </w:p>
        </w:tc>
      </w:tr>
    </w:tbl>
    <w:p w14:paraId="59A25ACD" w14:textId="269753BC" w:rsidR="002379CA" w:rsidRDefault="002379CA" w:rsidP="00955FC1">
      <w:pPr>
        <w:pStyle w:val="Brdtext"/>
        <w:rPr>
          <w:rFonts w:eastAsiaTheme="minorHAnsi"/>
        </w:rPr>
      </w:pPr>
    </w:p>
    <w:tbl>
      <w:tblPr>
        <w:tblStyle w:val="Tabellrutnt"/>
        <w:tblW w:w="0" w:type="auto"/>
        <w:tblLook w:val="04A0" w:firstRow="1" w:lastRow="0" w:firstColumn="1" w:lastColumn="0" w:noHBand="0" w:noVBand="1"/>
      </w:tblPr>
      <w:tblGrid>
        <w:gridCol w:w="7360"/>
      </w:tblGrid>
      <w:tr w:rsidR="002379CA" w:rsidRPr="002379CA" w14:paraId="7B0D40E8" w14:textId="77777777" w:rsidTr="00CD0C48">
        <w:tc>
          <w:tcPr>
            <w:tcW w:w="7360" w:type="dxa"/>
            <w:tcBorders>
              <w:top w:val="nil"/>
              <w:left w:val="nil"/>
              <w:bottom w:val="nil"/>
              <w:right w:val="nil"/>
            </w:tcBorders>
            <w:shd w:val="clear" w:color="auto" w:fill="D51317"/>
          </w:tcPr>
          <w:p w14:paraId="519277DD" w14:textId="1628D5AB" w:rsidR="002379CA" w:rsidRPr="002379CA" w:rsidRDefault="002379CA" w:rsidP="002379CA">
            <w:pPr>
              <w:pStyle w:val="Brdtext"/>
              <w:rPr>
                <w:rFonts w:eastAsiaTheme="minorHAnsi"/>
                <w:u w:val="single"/>
              </w:rPr>
            </w:pPr>
            <w:r w:rsidRPr="002379CA">
              <w:rPr>
                <w:b/>
                <w:bCs/>
              </w:rPr>
              <w:t>Värdegrund inom NSO</w:t>
            </w:r>
          </w:p>
        </w:tc>
      </w:tr>
      <w:tr w:rsidR="002379CA" w:rsidRPr="002D7ABC" w14:paraId="396C6D08" w14:textId="77777777" w:rsidTr="00CD0C48">
        <w:tc>
          <w:tcPr>
            <w:tcW w:w="7360" w:type="dxa"/>
            <w:tcBorders>
              <w:top w:val="nil"/>
              <w:left w:val="nil"/>
              <w:bottom w:val="nil"/>
              <w:right w:val="nil"/>
            </w:tcBorders>
            <w:shd w:val="clear" w:color="auto" w:fill="auto"/>
          </w:tcPr>
          <w:p w14:paraId="46800C80" w14:textId="16CD2DA5" w:rsidR="002379CA" w:rsidRPr="002D7ABC" w:rsidRDefault="002379CA" w:rsidP="00CD0C48">
            <w:pPr>
              <w:pStyle w:val="Brdtext"/>
              <w:rPr>
                <w:rFonts w:ascii="Calibri" w:hAnsi="Calibri" w:cs="Calibri"/>
                <w:color w:val="000000"/>
              </w:rPr>
            </w:pPr>
            <w:r w:rsidRPr="002379CA">
              <w:rPr>
                <w:rFonts w:ascii="Calibri" w:hAnsi="Calibri" w:cs="Calibri"/>
                <w:color w:val="000000"/>
              </w:rPr>
              <w:t>En gemensam värdegrund med värdeorden öppen, lyhörd och inkluderande som ledstjärna har gradvis vuxit fram över åren. En viktig startpunkt var den granskning som Riksrevisionen gjorde av området 2005</w:t>
            </w:r>
            <w:r w:rsidRPr="008A3ECA">
              <w:rPr>
                <w:rFonts w:ascii="Calibri" w:hAnsi="Calibri" w:cs="Calibri"/>
                <w:color w:val="000000"/>
                <w:vertAlign w:val="superscript"/>
              </w:rPr>
              <w:footnoteReference w:id="10"/>
            </w:r>
            <w:r w:rsidRPr="002379CA">
              <w:rPr>
                <w:rFonts w:ascii="Calibri" w:hAnsi="Calibri" w:cs="Calibri"/>
                <w:color w:val="000000"/>
              </w:rPr>
              <w:t xml:space="preserve"> när flera allvarliga brister konstaterades. Genom sin värdegrund kan NSO:s arbete bli mer behovsanpassat, accepterat samt hålla högre kvalitet samtidigt som arbetet överlag blir mer </w:t>
            </w:r>
            <w:r w:rsidRPr="002379CA">
              <w:rPr>
                <w:rFonts w:ascii="Calibri" w:hAnsi="Calibri" w:cs="Calibri"/>
                <w:color w:val="000000"/>
              </w:rPr>
              <w:lastRenderedPageBreak/>
              <w:t>demokratiskt och inkluderande. Riksrevisionen ansåg inte att NSO:s strategiska arbete nådde ut till, eller gynnade kommunernas arbete med oljeskyddsberedskap. Flera av de brister som Riksrevisionen såg för 16 år sedan är fortsatt aktuella och NSO konstaterar fortfarande att statliga stödet inte når fram till alla landets kustkommuner. Det är en av anledningarna till att NSO betonar vikten av att förmågan regionaliseras. Från ett samhällsperspektiv blir det orimligt för varje enskild kommun att upprätthålla den förmåga som krävs.</w:t>
            </w:r>
          </w:p>
        </w:tc>
      </w:tr>
      <w:tr w:rsidR="002379CA" w:rsidRPr="004563DF" w14:paraId="0D36B094" w14:textId="77777777" w:rsidTr="00984B72">
        <w:tc>
          <w:tcPr>
            <w:tcW w:w="7360" w:type="dxa"/>
            <w:tcBorders>
              <w:top w:val="nil"/>
              <w:left w:val="nil"/>
              <w:bottom w:val="nil"/>
              <w:right w:val="nil"/>
            </w:tcBorders>
            <w:shd w:val="clear" w:color="auto" w:fill="D51317"/>
          </w:tcPr>
          <w:p w14:paraId="380E0731" w14:textId="5660E540" w:rsidR="002379CA" w:rsidRPr="009C70B2" w:rsidRDefault="00C51A9E" w:rsidP="002D7ABC">
            <w:pPr>
              <w:pStyle w:val="Brdtext"/>
              <w:rPr>
                <w:b/>
                <w:bCs/>
              </w:rPr>
            </w:pPr>
            <w:r>
              <w:rPr>
                <w:b/>
                <w:bCs/>
              </w:rPr>
              <w:lastRenderedPageBreak/>
              <w:t xml:space="preserve">Aktivitet: </w:t>
            </w:r>
            <w:r w:rsidR="002379CA" w:rsidRPr="009C70B2">
              <w:rPr>
                <w:b/>
                <w:bCs/>
              </w:rPr>
              <w:t>Planerar och samordnar nationell process</w:t>
            </w:r>
          </w:p>
        </w:tc>
      </w:tr>
      <w:tr w:rsidR="00A9193B" w:rsidRPr="00A9193B" w14:paraId="2D1827DB" w14:textId="77777777" w:rsidTr="00547FBE">
        <w:tc>
          <w:tcPr>
            <w:tcW w:w="7360" w:type="dxa"/>
            <w:tcBorders>
              <w:top w:val="nil"/>
              <w:left w:val="nil"/>
              <w:bottom w:val="nil"/>
              <w:right w:val="nil"/>
            </w:tcBorders>
            <w:shd w:val="clear" w:color="auto" w:fill="auto"/>
          </w:tcPr>
          <w:p w14:paraId="66AF4280" w14:textId="4BA37236" w:rsidR="002D7ABC" w:rsidRPr="00825952" w:rsidRDefault="002D7ABC" w:rsidP="002D7ABC">
            <w:pPr>
              <w:pStyle w:val="Brdtext"/>
              <w:rPr>
                <w:u w:val="single"/>
              </w:rPr>
            </w:pPr>
            <w:r w:rsidRPr="00825952">
              <w:rPr>
                <w:u w:val="single"/>
              </w:rPr>
              <w:t>Tar fram underlag till strategidokument</w:t>
            </w:r>
            <w:r w:rsidR="00825952" w:rsidRPr="00825952">
              <w:rPr>
                <w:u w:val="single"/>
              </w:rPr>
              <w:t xml:space="preserve"> </w:t>
            </w:r>
          </w:p>
          <w:p w14:paraId="26DAA5D2" w14:textId="2D48051D" w:rsidR="00A9193B" w:rsidRPr="002D7ABC" w:rsidRDefault="00825952" w:rsidP="00AD4C31">
            <w:pPr>
              <w:pStyle w:val="Brdtext"/>
              <w:rPr>
                <w:rFonts w:ascii="Calibri" w:hAnsi="Calibri" w:cs="Calibri"/>
                <w:color w:val="000000"/>
              </w:rPr>
            </w:pPr>
            <w:r>
              <w:rPr>
                <w:rFonts w:ascii="Calibri" w:hAnsi="Calibri" w:cs="Calibri"/>
                <w:color w:val="000000"/>
              </w:rPr>
              <w:t>NSO:s huvudsakliga uppgift sedan 1980</w:t>
            </w:r>
            <w:r w:rsidR="00D43C2F">
              <w:rPr>
                <w:rFonts w:ascii="Calibri" w:hAnsi="Calibri" w:cs="Calibri"/>
                <w:color w:val="000000"/>
              </w:rPr>
              <w:t>-</w:t>
            </w:r>
            <w:r>
              <w:rPr>
                <w:rFonts w:ascii="Calibri" w:hAnsi="Calibri" w:cs="Calibri"/>
                <w:color w:val="000000"/>
              </w:rPr>
              <w:t xml:space="preserve">talet har varit att förse </w:t>
            </w:r>
            <w:r w:rsidR="0089381C">
              <w:rPr>
                <w:rFonts w:ascii="Calibri" w:hAnsi="Calibri" w:cs="Calibri"/>
                <w:color w:val="000000"/>
              </w:rPr>
              <w:t xml:space="preserve">berörda </w:t>
            </w:r>
            <w:r>
              <w:rPr>
                <w:rFonts w:ascii="Calibri" w:hAnsi="Calibri" w:cs="Calibri"/>
                <w:color w:val="000000"/>
              </w:rPr>
              <w:t>aktörer med en aktuell inriktning för området oljeskadeskydd.</w:t>
            </w:r>
            <w:r w:rsidR="005F320E">
              <w:rPr>
                <w:rFonts w:ascii="Calibri" w:hAnsi="Calibri" w:cs="Calibri"/>
                <w:color w:val="000000"/>
              </w:rPr>
              <w:t xml:space="preserve"> Strategin består av flera dokument</w:t>
            </w:r>
            <w:r w:rsidR="00AD4C31">
              <w:rPr>
                <w:rFonts w:ascii="Calibri" w:hAnsi="Calibri" w:cs="Calibri"/>
                <w:color w:val="000000"/>
              </w:rPr>
              <w:t xml:space="preserve"> och NSO:s arbete med d</w:t>
            </w:r>
            <w:r w:rsidR="005F320E">
              <w:rPr>
                <w:rFonts w:ascii="Calibri" w:hAnsi="Calibri" w:cs="Calibri"/>
                <w:color w:val="000000"/>
              </w:rPr>
              <w:t xml:space="preserve">okumenten beskrivs </w:t>
            </w:r>
            <w:r w:rsidR="00AD4C31">
              <w:rPr>
                <w:rFonts w:ascii="Calibri" w:hAnsi="Calibri" w:cs="Calibri"/>
                <w:color w:val="000000"/>
              </w:rPr>
              <w:t>närmare i kapitel 1. Bakgrund och syfte samt kapitel 1.1 Revidering</w:t>
            </w:r>
            <w:r w:rsidR="005F320E">
              <w:rPr>
                <w:rFonts w:ascii="Calibri" w:hAnsi="Calibri" w:cs="Calibri"/>
                <w:color w:val="000000"/>
              </w:rPr>
              <w:t>.</w:t>
            </w:r>
          </w:p>
        </w:tc>
      </w:tr>
      <w:tr w:rsidR="002D7ABC" w:rsidRPr="00A9193B" w14:paraId="3FC9848E" w14:textId="77777777" w:rsidTr="008A3ECA">
        <w:tc>
          <w:tcPr>
            <w:tcW w:w="7360" w:type="dxa"/>
            <w:tcBorders>
              <w:top w:val="nil"/>
              <w:left w:val="nil"/>
              <w:bottom w:val="nil"/>
              <w:right w:val="nil"/>
            </w:tcBorders>
            <w:shd w:val="clear" w:color="auto" w:fill="auto"/>
          </w:tcPr>
          <w:p w14:paraId="7F5C73A8" w14:textId="610E6E90" w:rsidR="002D7ABC" w:rsidRDefault="002D7ABC" w:rsidP="002D7ABC">
            <w:pPr>
              <w:pStyle w:val="Brdtext"/>
              <w:rPr>
                <w:rFonts w:ascii="Calibri" w:hAnsi="Calibri" w:cs="Calibri"/>
                <w:color w:val="000000"/>
                <w:sz w:val="22"/>
                <w:szCs w:val="22"/>
                <w:u w:val="single"/>
              </w:rPr>
            </w:pPr>
            <w:r w:rsidRPr="00825952">
              <w:rPr>
                <w:rFonts w:ascii="Calibri" w:hAnsi="Calibri" w:cs="Calibri"/>
                <w:color w:val="000000"/>
                <w:sz w:val="22"/>
                <w:szCs w:val="22"/>
                <w:u w:val="single"/>
              </w:rPr>
              <w:t xml:space="preserve">Planerar </w:t>
            </w:r>
            <w:r w:rsidR="00A34500" w:rsidRPr="00825952">
              <w:rPr>
                <w:rFonts w:ascii="Calibri" w:hAnsi="Calibri" w:cs="Calibri"/>
                <w:color w:val="000000"/>
                <w:sz w:val="22"/>
                <w:szCs w:val="22"/>
                <w:u w:val="single"/>
              </w:rPr>
              <w:t>konferens</w:t>
            </w:r>
          </w:p>
          <w:p w14:paraId="11B74B1E" w14:textId="283DBAD2" w:rsidR="00825952" w:rsidRPr="004C7E4F" w:rsidRDefault="0089381C" w:rsidP="00FC7E39">
            <w:pPr>
              <w:pStyle w:val="Brdtext"/>
              <w:rPr>
                <w:rFonts w:ascii="Calibri" w:hAnsi="Calibri" w:cs="Calibri"/>
                <w:b/>
                <w:color w:val="000000"/>
                <w:sz w:val="22"/>
                <w:szCs w:val="22"/>
              </w:rPr>
            </w:pPr>
            <w:r w:rsidRPr="0089381C">
              <w:rPr>
                <w:rFonts w:ascii="Calibri" w:hAnsi="Calibri" w:cs="Calibri"/>
                <w:color w:val="000000"/>
              </w:rPr>
              <w:t xml:space="preserve">Sedan </w:t>
            </w:r>
            <w:r>
              <w:rPr>
                <w:rFonts w:ascii="Calibri" w:hAnsi="Calibri" w:cs="Calibri"/>
                <w:color w:val="000000"/>
              </w:rPr>
              <w:t>2012 har NSO arrangerat en årlig konferens för oljeskadeskydd.</w:t>
            </w:r>
            <w:r w:rsidRPr="0089381C">
              <w:rPr>
                <w:rFonts w:ascii="Calibri" w:hAnsi="Calibri" w:cs="Calibri"/>
                <w:color w:val="000000"/>
              </w:rPr>
              <w:t xml:space="preserve"> Till konferensen bjöds alla berörda aktörer in, oavsett om det är en kommun, ett privat företag, en frivilligorganisation eller en myndighet som har en roll före, under eller efter en händelse med utsläpp av olja till sjöss och på strand</w:t>
            </w:r>
            <w:r w:rsidR="00FC7E39">
              <w:rPr>
                <w:rFonts w:ascii="Calibri" w:hAnsi="Calibri" w:cs="Calibri"/>
                <w:color w:val="000000"/>
              </w:rPr>
              <w:t>. S</w:t>
            </w:r>
            <w:r>
              <w:rPr>
                <w:rFonts w:ascii="Calibri" w:hAnsi="Calibri" w:cs="Calibri"/>
                <w:color w:val="000000"/>
              </w:rPr>
              <w:t>yfte</w:t>
            </w:r>
            <w:r w:rsidR="00FC7E39">
              <w:rPr>
                <w:rFonts w:ascii="Calibri" w:hAnsi="Calibri" w:cs="Calibri"/>
                <w:color w:val="000000"/>
              </w:rPr>
              <w:t>t är</w:t>
            </w:r>
            <w:r>
              <w:rPr>
                <w:rFonts w:ascii="Calibri" w:hAnsi="Calibri" w:cs="Calibri"/>
                <w:color w:val="000000"/>
              </w:rPr>
              <w:t xml:space="preserve"> att samla</w:t>
            </w:r>
            <w:r w:rsidR="00FC7E39">
              <w:rPr>
                <w:rFonts w:ascii="Calibri" w:hAnsi="Calibri" w:cs="Calibri"/>
                <w:color w:val="000000"/>
              </w:rPr>
              <w:t xml:space="preserve"> en</w:t>
            </w:r>
            <w:r>
              <w:rPr>
                <w:rFonts w:ascii="Calibri" w:hAnsi="Calibri" w:cs="Calibri"/>
                <w:color w:val="000000"/>
              </w:rPr>
              <w:t xml:space="preserve"> </w:t>
            </w:r>
            <w:r w:rsidRPr="0089381C">
              <w:rPr>
                <w:rFonts w:ascii="Calibri" w:hAnsi="Calibri" w:cs="Calibri"/>
                <w:color w:val="000000"/>
              </w:rPr>
              <w:t>aktuell helhetsbild av utvecklingen och utmaningar samt att föra en strategisk dialog om framtida prioriteringar</w:t>
            </w:r>
            <w:r>
              <w:rPr>
                <w:rFonts w:ascii="Calibri" w:hAnsi="Calibri" w:cs="Calibri"/>
                <w:color w:val="000000"/>
              </w:rPr>
              <w:t>. Konferensen har roterande värdskap och teman</w:t>
            </w:r>
            <w:r w:rsidR="005B2F14">
              <w:rPr>
                <w:rFonts w:ascii="Calibri" w:hAnsi="Calibri" w:cs="Calibri"/>
                <w:color w:val="000000"/>
              </w:rPr>
              <w:t xml:space="preserve"> </w:t>
            </w:r>
            <w:r w:rsidR="00FC7E39">
              <w:rPr>
                <w:rFonts w:ascii="Calibri" w:hAnsi="Calibri" w:cs="Calibri"/>
                <w:color w:val="000000"/>
              </w:rPr>
              <w:t>och</w:t>
            </w:r>
            <w:r w:rsidR="005B2F14">
              <w:rPr>
                <w:rFonts w:ascii="Calibri" w:hAnsi="Calibri" w:cs="Calibri"/>
                <w:color w:val="000000"/>
              </w:rPr>
              <w:t xml:space="preserve"> är NSO:s huvudsakliga kommunikationskanal och har stående punkter på dagordningen som exempelvis att delge information om aktuella händelser. Konferensdokumentationen </w:t>
            </w:r>
            <w:r w:rsidR="006E068D">
              <w:rPr>
                <w:rFonts w:ascii="Calibri" w:hAnsi="Calibri" w:cs="Calibri"/>
                <w:color w:val="000000"/>
              </w:rPr>
              <w:t xml:space="preserve">bidrar till kompetensutveckling samt utgör arkiv eller organisatoriskt minne för området och all information är </w:t>
            </w:r>
            <w:r w:rsidR="005B2F14">
              <w:rPr>
                <w:rFonts w:ascii="Calibri" w:hAnsi="Calibri" w:cs="Calibri"/>
                <w:color w:val="000000"/>
              </w:rPr>
              <w:t xml:space="preserve">tillgänglig via </w:t>
            </w:r>
            <w:proofErr w:type="spellStart"/>
            <w:r w:rsidR="005B2F14">
              <w:rPr>
                <w:rFonts w:ascii="Calibri" w:hAnsi="Calibri" w:cs="Calibri"/>
                <w:color w:val="000000"/>
              </w:rPr>
              <w:t>MSB:s</w:t>
            </w:r>
            <w:proofErr w:type="spellEnd"/>
            <w:r w:rsidR="005B2F14">
              <w:rPr>
                <w:rFonts w:ascii="Calibri" w:hAnsi="Calibri" w:cs="Calibri"/>
                <w:color w:val="000000"/>
              </w:rPr>
              <w:t xml:space="preserve"> webb</w:t>
            </w:r>
            <w:r w:rsidR="006E068D">
              <w:rPr>
                <w:rFonts w:ascii="Calibri" w:hAnsi="Calibri" w:cs="Calibri"/>
                <w:color w:val="000000"/>
              </w:rPr>
              <w:t>sida</w:t>
            </w:r>
            <w:r w:rsidR="005B2F14" w:rsidRPr="009537BF">
              <w:rPr>
                <w:vertAlign w:val="superscript"/>
              </w:rPr>
              <w:footnoteReference w:id="11"/>
            </w:r>
            <w:r w:rsidR="005B2F14">
              <w:rPr>
                <w:rFonts w:ascii="Calibri" w:hAnsi="Calibri" w:cs="Calibri"/>
                <w:color w:val="000000"/>
              </w:rPr>
              <w:t xml:space="preserve">. </w:t>
            </w:r>
          </w:p>
        </w:tc>
      </w:tr>
    </w:tbl>
    <w:p w14:paraId="74F4616D" w14:textId="6A4FA171" w:rsidR="00960C55" w:rsidRDefault="00960C55" w:rsidP="009C70B2">
      <w:pPr>
        <w:pStyle w:val="Brdtext"/>
      </w:pPr>
    </w:p>
    <w:p w14:paraId="0BF1551B" w14:textId="77777777" w:rsidR="00960C55" w:rsidRDefault="00960C55">
      <w:pPr>
        <w:spacing w:line="240" w:lineRule="auto"/>
      </w:pPr>
      <w:r>
        <w:br w:type="page"/>
      </w:r>
    </w:p>
    <w:tbl>
      <w:tblPr>
        <w:tblStyle w:val="Tabellrutnt"/>
        <w:tblW w:w="0" w:type="auto"/>
        <w:tblLook w:val="04A0" w:firstRow="1" w:lastRow="0" w:firstColumn="1" w:lastColumn="0" w:noHBand="0" w:noVBand="1"/>
      </w:tblPr>
      <w:tblGrid>
        <w:gridCol w:w="7360"/>
      </w:tblGrid>
      <w:tr w:rsidR="002D7ABC" w:rsidRPr="002D7ABC" w14:paraId="4C7D989C" w14:textId="77777777" w:rsidTr="00A0641D">
        <w:tc>
          <w:tcPr>
            <w:tcW w:w="7360" w:type="dxa"/>
            <w:tcBorders>
              <w:top w:val="nil"/>
              <w:left w:val="nil"/>
              <w:bottom w:val="nil"/>
              <w:right w:val="nil"/>
            </w:tcBorders>
            <w:shd w:val="clear" w:color="auto" w:fill="D51317"/>
          </w:tcPr>
          <w:p w14:paraId="54409414" w14:textId="2DFDB621" w:rsidR="002D7ABC" w:rsidRPr="002D7ABC" w:rsidRDefault="00C51A9E" w:rsidP="00547FBE">
            <w:pPr>
              <w:pStyle w:val="Brdtext"/>
              <w:rPr>
                <w:b/>
                <w:bCs/>
              </w:rPr>
            </w:pPr>
            <w:r>
              <w:rPr>
                <w:b/>
                <w:bCs/>
              </w:rPr>
              <w:lastRenderedPageBreak/>
              <w:t xml:space="preserve">Aktivitet: </w:t>
            </w:r>
            <w:r w:rsidR="002D7ABC" w:rsidRPr="009C70B2">
              <w:rPr>
                <w:b/>
                <w:iCs/>
              </w:rPr>
              <w:t>Expertstöd</w:t>
            </w:r>
          </w:p>
        </w:tc>
      </w:tr>
      <w:tr w:rsidR="002D7ABC" w:rsidRPr="002D7ABC" w14:paraId="72BC98F5" w14:textId="77777777" w:rsidTr="008A3ECA">
        <w:tc>
          <w:tcPr>
            <w:tcW w:w="7360" w:type="dxa"/>
            <w:tcBorders>
              <w:top w:val="nil"/>
              <w:left w:val="nil"/>
              <w:bottom w:val="nil"/>
              <w:right w:val="nil"/>
            </w:tcBorders>
            <w:shd w:val="clear" w:color="auto" w:fill="auto"/>
          </w:tcPr>
          <w:p w14:paraId="3C375DB2" w14:textId="77777777" w:rsidR="00875F3F" w:rsidRPr="00875F3F" w:rsidRDefault="00875F3F" w:rsidP="00875F3F">
            <w:pPr>
              <w:pStyle w:val="Brdtext"/>
              <w:rPr>
                <w:u w:val="single"/>
              </w:rPr>
            </w:pPr>
            <w:proofErr w:type="spellStart"/>
            <w:r w:rsidRPr="00875F3F">
              <w:rPr>
                <w:rFonts w:ascii="Calibri" w:hAnsi="Calibri" w:cs="Calibri"/>
                <w:color w:val="000000"/>
                <w:sz w:val="22"/>
                <w:szCs w:val="22"/>
                <w:u w:val="single"/>
              </w:rPr>
              <w:t>Omvärldsbevakar</w:t>
            </w:r>
            <w:proofErr w:type="spellEnd"/>
            <w:r w:rsidRPr="00875F3F">
              <w:rPr>
                <w:rFonts w:ascii="Calibri" w:hAnsi="Calibri" w:cs="Calibri"/>
                <w:b/>
                <w:color w:val="000000"/>
                <w:sz w:val="22"/>
                <w:szCs w:val="22"/>
                <w:u w:val="single"/>
              </w:rPr>
              <w:t xml:space="preserve"> </w:t>
            </w:r>
          </w:p>
          <w:p w14:paraId="071604A3" w14:textId="6A0EB429" w:rsidR="00C5086C" w:rsidRPr="002D7ABC" w:rsidRDefault="002D7ABC" w:rsidP="00812809">
            <w:pPr>
              <w:pStyle w:val="Brdtext"/>
              <w:rPr>
                <w:rFonts w:ascii="Calibri" w:hAnsi="Calibri" w:cs="Calibri"/>
                <w:color w:val="000000"/>
                <w:sz w:val="22"/>
                <w:szCs w:val="22"/>
              </w:rPr>
            </w:pPr>
            <w:r>
              <w:rPr>
                <w:rFonts w:ascii="Calibri" w:hAnsi="Calibri" w:cs="Calibri"/>
                <w:color w:val="000000"/>
                <w:sz w:val="22"/>
                <w:szCs w:val="22"/>
              </w:rPr>
              <w:t>Omvärldsbevakning är en viktig del av NSO</w:t>
            </w:r>
            <w:r w:rsidR="006E068D">
              <w:rPr>
                <w:rFonts w:ascii="Calibri" w:hAnsi="Calibri" w:cs="Calibri"/>
                <w:color w:val="000000"/>
                <w:sz w:val="22"/>
                <w:szCs w:val="22"/>
              </w:rPr>
              <w:t xml:space="preserve">:s </w:t>
            </w:r>
            <w:r>
              <w:rPr>
                <w:rFonts w:ascii="Calibri" w:hAnsi="Calibri" w:cs="Calibri"/>
                <w:color w:val="000000"/>
                <w:sz w:val="22"/>
                <w:szCs w:val="22"/>
              </w:rPr>
              <w:t>samordning</w:t>
            </w:r>
            <w:r w:rsidR="00812809">
              <w:rPr>
                <w:rFonts w:ascii="Calibri" w:hAnsi="Calibri" w:cs="Calibri"/>
                <w:color w:val="000000"/>
                <w:sz w:val="22"/>
                <w:szCs w:val="22"/>
              </w:rPr>
              <w:t xml:space="preserve"> och kompetensutveckling</w:t>
            </w:r>
            <w:r w:rsidR="006E068D">
              <w:rPr>
                <w:rFonts w:ascii="Calibri" w:hAnsi="Calibri" w:cs="Calibri"/>
                <w:color w:val="000000"/>
                <w:sz w:val="22"/>
                <w:szCs w:val="22"/>
              </w:rPr>
              <w:t>.</w:t>
            </w:r>
            <w:r>
              <w:rPr>
                <w:rFonts w:ascii="Calibri" w:hAnsi="Calibri" w:cs="Calibri"/>
                <w:color w:val="000000"/>
                <w:sz w:val="22"/>
                <w:szCs w:val="22"/>
              </w:rPr>
              <w:t xml:space="preserve"> </w:t>
            </w:r>
            <w:r w:rsidR="006E068D">
              <w:rPr>
                <w:rFonts w:ascii="Calibri" w:hAnsi="Calibri" w:cs="Calibri"/>
                <w:color w:val="000000"/>
                <w:sz w:val="22"/>
                <w:szCs w:val="22"/>
              </w:rPr>
              <w:t xml:space="preserve">NSO:s representanter och organisationer deltar i ett stort antal nätverk och inhämtar </w:t>
            </w:r>
            <w:r w:rsidR="00812809">
              <w:rPr>
                <w:rFonts w:ascii="Calibri" w:hAnsi="Calibri" w:cs="Calibri"/>
                <w:color w:val="000000"/>
                <w:sz w:val="22"/>
                <w:szCs w:val="22"/>
              </w:rPr>
              <w:t>kunskap och nyheter</w:t>
            </w:r>
            <w:r w:rsidR="006E068D">
              <w:rPr>
                <w:rFonts w:ascii="Calibri" w:hAnsi="Calibri" w:cs="Calibri"/>
                <w:color w:val="000000"/>
                <w:sz w:val="22"/>
                <w:szCs w:val="22"/>
              </w:rPr>
              <w:t xml:space="preserve"> från ett brett område. N</w:t>
            </w:r>
            <w:r>
              <w:rPr>
                <w:rFonts w:ascii="Calibri" w:hAnsi="Calibri" w:cs="Calibri"/>
                <w:color w:val="000000"/>
                <w:sz w:val="22"/>
                <w:szCs w:val="22"/>
              </w:rPr>
              <w:t xml:space="preserve">SO delar och </w:t>
            </w:r>
            <w:r w:rsidR="005B2F14">
              <w:rPr>
                <w:rFonts w:ascii="Calibri" w:hAnsi="Calibri" w:cs="Calibri"/>
                <w:color w:val="000000"/>
                <w:sz w:val="22"/>
                <w:szCs w:val="22"/>
              </w:rPr>
              <w:t>tolkar utvecklingen</w:t>
            </w:r>
            <w:r w:rsidR="006E068D">
              <w:rPr>
                <w:rFonts w:ascii="Calibri" w:hAnsi="Calibri" w:cs="Calibri"/>
                <w:color w:val="000000"/>
                <w:sz w:val="22"/>
                <w:szCs w:val="22"/>
              </w:rPr>
              <w:t xml:space="preserve"> för svenskt oljeskadeskydd</w:t>
            </w:r>
            <w:r w:rsidR="005B2F14">
              <w:rPr>
                <w:rFonts w:ascii="Calibri" w:hAnsi="Calibri" w:cs="Calibri"/>
                <w:color w:val="000000"/>
                <w:sz w:val="22"/>
                <w:szCs w:val="22"/>
              </w:rPr>
              <w:t>. En stor del av omvärldsbevakningen sker genom NSO:s årliga konferens</w:t>
            </w:r>
            <w:r w:rsidR="006E068D">
              <w:rPr>
                <w:rFonts w:ascii="Calibri" w:hAnsi="Calibri" w:cs="Calibri"/>
                <w:color w:val="000000"/>
                <w:sz w:val="22"/>
                <w:szCs w:val="22"/>
              </w:rPr>
              <w:t xml:space="preserve">. </w:t>
            </w:r>
            <w:r w:rsidR="003051A6">
              <w:rPr>
                <w:rFonts w:ascii="Calibri" w:hAnsi="Calibri" w:cs="Calibri"/>
                <w:color w:val="000000"/>
                <w:sz w:val="22"/>
                <w:szCs w:val="22"/>
              </w:rPr>
              <w:t>Konferensen är</w:t>
            </w:r>
            <w:r w:rsidR="005B2F14">
              <w:rPr>
                <w:rFonts w:ascii="Calibri" w:hAnsi="Calibri" w:cs="Calibri"/>
                <w:color w:val="000000"/>
                <w:sz w:val="22"/>
                <w:szCs w:val="22"/>
              </w:rPr>
              <w:t xml:space="preserve"> en naturlig samlingspunkt för större nyheter under året</w:t>
            </w:r>
            <w:r w:rsidR="006E068D">
              <w:rPr>
                <w:rFonts w:ascii="Calibri" w:hAnsi="Calibri" w:cs="Calibri"/>
                <w:color w:val="000000"/>
                <w:sz w:val="22"/>
                <w:szCs w:val="22"/>
              </w:rPr>
              <w:t xml:space="preserve"> och underlättar alla aktörers omvärldsbevakning</w:t>
            </w:r>
            <w:r w:rsidR="00812809">
              <w:rPr>
                <w:rFonts w:ascii="Calibri" w:hAnsi="Calibri" w:cs="Calibri"/>
                <w:color w:val="000000"/>
                <w:sz w:val="22"/>
                <w:szCs w:val="22"/>
              </w:rPr>
              <w:t xml:space="preserve"> och kompetensutveckling</w:t>
            </w:r>
            <w:r w:rsidR="005B2F14">
              <w:rPr>
                <w:rFonts w:ascii="Calibri" w:hAnsi="Calibri" w:cs="Calibri"/>
                <w:color w:val="000000"/>
                <w:sz w:val="22"/>
                <w:szCs w:val="22"/>
              </w:rPr>
              <w:t xml:space="preserve">. </w:t>
            </w:r>
          </w:p>
        </w:tc>
      </w:tr>
      <w:tr w:rsidR="002D7ABC" w:rsidRPr="002D7ABC" w14:paraId="439D52BF" w14:textId="77777777" w:rsidTr="008A3ECA">
        <w:tc>
          <w:tcPr>
            <w:tcW w:w="7360" w:type="dxa"/>
            <w:tcBorders>
              <w:top w:val="nil"/>
              <w:left w:val="nil"/>
              <w:bottom w:val="nil"/>
              <w:right w:val="nil"/>
            </w:tcBorders>
            <w:shd w:val="clear" w:color="auto" w:fill="auto"/>
          </w:tcPr>
          <w:p w14:paraId="4DC6D00C" w14:textId="77777777" w:rsidR="002D7ABC" w:rsidRPr="005B2F14" w:rsidRDefault="002D7ABC" w:rsidP="002D7ABC">
            <w:pPr>
              <w:pStyle w:val="Brdtext"/>
              <w:rPr>
                <w:rFonts w:ascii="Calibri" w:hAnsi="Calibri" w:cs="Calibri"/>
                <w:color w:val="000000"/>
                <w:sz w:val="22"/>
                <w:szCs w:val="22"/>
                <w:u w:val="single"/>
              </w:rPr>
            </w:pPr>
            <w:r w:rsidRPr="005B2F14">
              <w:rPr>
                <w:rFonts w:ascii="Calibri" w:hAnsi="Calibri" w:cs="Calibri"/>
                <w:color w:val="000000"/>
                <w:sz w:val="22"/>
                <w:szCs w:val="22"/>
                <w:u w:val="single"/>
              </w:rPr>
              <w:t>Gemensamma projekt</w:t>
            </w:r>
          </w:p>
          <w:p w14:paraId="64EBC2CE" w14:textId="7683F176" w:rsidR="00955FC1" w:rsidRPr="002D7ABC" w:rsidRDefault="005B2F14" w:rsidP="00812809">
            <w:pPr>
              <w:pStyle w:val="Brdtext"/>
              <w:rPr>
                <w:rFonts w:ascii="Calibri" w:hAnsi="Calibri" w:cs="Calibri"/>
                <w:color w:val="000000"/>
                <w:sz w:val="22"/>
                <w:szCs w:val="22"/>
              </w:rPr>
            </w:pPr>
            <w:r>
              <w:rPr>
                <w:rFonts w:ascii="Calibri" w:hAnsi="Calibri" w:cs="Calibri"/>
                <w:color w:val="000000"/>
                <w:sz w:val="22"/>
                <w:szCs w:val="22"/>
              </w:rPr>
              <w:t xml:space="preserve">NSO </w:t>
            </w:r>
            <w:r w:rsidR="0084456E">
              <w:rPr>
                <w:rFonts w:ascii="Calibri" w:hAnsi="Calibri" w:cs="Calibri"/>
                <w:color w:val="000000"/>
                <w:sz w:val="22"/>
                <w:szCs w:val="22"/>
              </w:rPr>
              <w:t xml:space="preserve">initierar utveckling och </w:t>
            </w:r>
            <w:r>
              <w:rPr>
                <w:rFonts w:ascii="Calibri" w:hAnsi="Calibri" w:cs="Calibri"/>
                <w:color w:val="000000"/>
                <w:sz w:val="22"/>
                <w:szCs w:val="22"/>
              </w:rPr>
              <w:t xml:space="preserve">bedriver </w:t>
            </w:r>
            <w:r w:rsidR="0084456E">
              <w:rPr>
                <w:rFonts w:ascii="Calibri" w:hAnsi="Calibri" w:cs="Calibri"/>
                <w:color w:val="000000"/>
                <w:sz w:val="22"/>
                <w:szCs w:val="22"/>
              </w:rPr>
              <w:t xml:space="preserve">ett fåtal aktörsgemensamma </w:t>
            </w:r>
            <w:r>
              <w:rPr>
                <w:rFonts w:ascii="Calibri" w:hAnsi="Calibri" w:cs="Calibri"/>
                <w:color w:val="000000"/>
                <w:sz w:val="22"/>
                <w:szCs w:val="22"/>
              </w:rPr>
              <w:t>projekt</w:t>
            </w:r>
            <w:r w:rsidR="0084456E">
              <w:rPr>
                <w:rFonts w:ascii="Calibri" w:hAnsi="Calibri" w:cs="Calibri"/>
                <w:color w:val="000000"/>
                <w:sz w:val="22"/>
                <w:szCs w:val="22"/>
              </w:rPr>
              <w:t xml:space="preserve"> varje år. I praktiken innebär det att NSO</w:t>
            </w:r>
            <w:r w:rsidR="00982C1F">
              <w:rPr>
                <w:rFonts w:ascii="Calibri" w:hAnsi="Calibri" w:cs="Calibri"/>
                <w:color w:val="000000"/>
                <w:sz w:val="22"/>
                <w:szCs w:val="22"/>
              </w:rPr>
              <w:t xml:space="preserve"> oftast</w:t>
            </w:r>
            <w:r w:rsidR="0084456E">
              <w:rPr>
                <w:rFonts w:ascii="Calibri" w:hAnsi="Calibri" w:cs="Calibri"/>
                <w:color w:val="000000"/>
                <w:sz w:val="22"/>
                <w:szCs w:val="22"/>
              </w:rPr>
              <w:t xml:space="preserve"> är beställare och agerar styrgrupp</w:t>
            </w:r>
            <w:r w:rsidR="00812809">
              <w:rPr>
                <w:rFonts w:ascii="Calibri" w:hAnsi="Calibri" w:cs="Calibri"/>
                <w:color w:val="000000"/>
                <w:sz w:val="22"/>
                <w:szCs w:val="22"/>
              </w:rPr>
              <w:t xml:space="preserve"> i projekten</w:t>
            </w:r>
            <w:r w:rsidR="0084456E">
              <w:rPr>
                <w:rFonts w:ascii="Calibri" w:hAnsi="Calibri" w:cs="Calibri"/>
                <w:color w:val="000000"/>
                <w:sz w:val="22"/>
                <w:szCs w:val="22"/>
              </w:rPr>
              <w:t xml:space="preserve">. </w:t>
            </w:r>
            <w:r w:rsidR="00812809">
              <w:rPr>
                <w:rFonts w:ascii="Calibri" w:hAnsi="Calibri" w:cs="Calibri"/>
                <w:color w:val="000000"/>
                <w:sz w:val="22"/>
                <w:szCs w:val="22"/>
              </w:rPr>
              <w:t>NSO</w:t>
            </w:r>
            <w:r w:rsidR="001D75F5">
              <w:rPr>
                <w:rFonts w:ascii="Calibri" w:hAnsi="Calibri" w:cs="Calibri"/>
                <w:color w:val="000000"/>
                <w:sz w:val="22"/>
                <w:szCs w:val="22"/>
              </w:rPr>
              <w:t>:s</w:t>
            </w:r>
            <w:r w:rsidR="00812809">
              <w:rPr>
                <w:rFonts w:ascii="Calibri" w:hAnsi="Calibri" w:cs="Calibri"/>
                <w:color w:val="000000"/>
                <w:sz w:val="22"/>
                <w:szCs w:val="22"/>
              </w:rPr>
              <w:t xml:space="preserve"> företrädare </w:t>
            </w:r>
            <w:r w:rsidR="0084456E">
              <w:rPr>
                <w:rFonts w:ascii="Calibri" w:hAnsi="Calibri" w:cs="Calibri"/>
                <w:color w:val="000000"/>
                <w:sz w:val="22"/>
                <w:szCs w:val="22"/>
              </w:rPr>
              <w:t xml:space="preserve">har </w:t>
            </w:r>
            <w:r w:rsidR="00812809">
              <w:rPr>
                <w:rFonts w:ascii="Calibri" w:hAnsi="Calibri" w:cs="Calibri"/>
                <w:color w:val="000000"/>
                <w:sz w:val="22"/>
                <w:szCs w:val="22"/>
              </w:rPr>
              <w:t xml:space="preserve">sällan </w:t>
            </w:r>
            <w:r w:rsidR="0084456E">
              <w:rPr>
                <w:rFonts w:ascii="Calibri" w:hAnsi="Calibri" w:cs="Calibri"/>
                <w:color w:val="000000"/>
                <w:sz w:val="22"/>
                <w:szCs w:val="22"/>
              </w:rPr>
              <w:t xml:space="preserve">möjlighet att avsätta den arbetstid som krävs för </w:t>
            </w:r>
            <w:r w:rsidR="00812809">
              <w:rPr>
                <w:rFonts w:ascii="Calibri" w:hAnsi="Calibri" w:cs="Calibri"/>
                <w:color w:val="000000"/>
                <w:sz w:val="22"/>
                <w:szCs w:val="22"/>
              </w:rPr>
              <w:t>att bedriva projekt i egen regi. G</w:t>
            </w:r>
            <w:r w:rsidR="0084456E">
              <w:rPr>
                <w:rFonts w:ascii="Calibri" w:hAnsi="Calibri" w:cs="Calibri"/>
                <w:color w:val="000000"/>
                <w:sz w:val="22"/>
                <w:szCs w:val="22"/>
              </w:rPr>
              <w:t xml:space="preserve">ruppen har </w:t>
            </w:r>
            <w:r w:rsidR="001D75F5">
              <w:rPr>
                <w:rFonts w:ascii="Calibri" w:hAnsi="Calibri" w:cs="Calibri"/>
                <w:color w:val="000000"/>
                <w:sz w:val="22"/>
                <w:szCs w:val="22"/>
              </w:rPr>
              <w:t xml:space="preserve">totalt </w:t>
            </w:r>
            <w:r w:rsidR="0084456E">
              <w:rPr>
                <w:rFonts w:ascii="Calibri" w:hAnsi="Calibri" w:cs="Calibri"/>
                <w:color w:val="000000"/>
                <w:sz w:val="22"/>
                <w:szCs w:val="22"/>
              </w:rPr>
              <w:t xml:space="preserve">en handfull möten per år. MSB har ofta en sammanhållande roll och administrerar de NSO-gemensamma projekten. Exempelvis konferensen och revidering av strategidokument genomförs i projektform. Ett annat exempel är rapporten </w:t>
            </w:r>
            <w:r w:rsidR="0084456E" w:rsidRPr="00214179">
              <w:rPr>
                <w:rFonts w:ascii="Calibri" w:hAnsi="Calibri" w:cs="Calibri"/>
                <w:i/>
                <w:color w:val="000000"/>
                <w:sz w:val="22"/>
                <w:szCs w:val="22"/>
              </w:rPr>
              <w:t xml:space="preserve">Sveriges oljeskyddsberedskap 2021 </w:t>
            </w:r>
            <w:r w:rsidR="00214179" w:rsidRPr="00214179">
              <w:rPr>
                <w:rFonts w:ascii="Calibri" w:hAnsi="Calibri" w:cs="Calibri"/>
                <w:i/>
                <w:color w:val="000000"/>
                <w:sz w:val="22"/>
                <w:szCs w:val="22"/>
              </w:rPr>
              <w:t>-</w:t>
            </w:r>
            <w:r w:rsidR="0084456E" w:rsidRPr="00214179">
              <w:rPr>
                <w:rFonts w:ascii="Calibri" w:hAnsi="Calibri" w:cs="Calibri"/>
                <w:i/>
                <w:color w:val="000000"/>
                <w:sz w:val="22"/>
                <w:szCs w:val="22"/>
              </w:rPr>
              <w:t xml:space="preserve"> kartläggning av förmågan</w:t>
            </w:r>
            <w:r w:rsidR="006E068D">
              <w:rPr>
                <w:rStyle w:val="Fotnotsreferens"/>
                <w:rFonts w:ascii="Calibri" w:hAnsi="Calibri" w:cs="Calibri"/>
                <w:i/>
                <w:color w:val="000000"/>
                <w:sz w:val="22"/>
                <w:szCs w:val="22"/>
              </w:rPr>
              <w:footnoteReference w:id="12"/>
            </w:r>
            <w:r w:rsidR="0084456E">
              <w:rPr>
                <w:rFonts w:ascii="Calibri" w:hAnsi="Calibri" w:cs="Calibri"/>
                <w:color w:val="000000"/>
                <w:sz w:val="22"/>
                <w:szCs w:val="22"/>
              </w:rPr>
              <w:t xml:space="preserve"> som togs fram som ett underlag till revideringen av denna handlingsplan. </w:t>
            </w:r>
            <w:r w:rsidR="00812809">
              <w:rPr>
                <w:rFonts w:ascii="Calibri" w:hAnsi="Calibri" w:cs="Calibri"/>
                <w:color w:val="000000"/>
                <w:sz w:val="22"/>
                <w:szCs w:val="22"/>
              </w:rPr>
              <w:t xml:space="preserve">NSO-gemensamma projekt genomförs enligt PPS-modellen som är </w:t>
            </w:r>
            <w:proofErr w:type="spellStart"/>
            <w:r w:rsidR="00812809">
              <w:rPr>
                <w:rFonts w:ascii="Calibri" w:hAnsi="Calibri" w:cs="Calibri"/>
                <w:color w:val="000000"/>
                <w:sz w:val="22"/>
                <w:szCs w:val="22"/>
              </w:rPr>
              <w:t>MSB:s</w:t>
            </w:r>
            <w:proofErr w:type="spellEnd"/>
            <w:r w:rsidR="00812809">
              <w:rPr>
                <w:rFonts w:ascii="Calibri" w:hAnsi="Calibri" w:cs="Calibri"/>
                <w:color w:val="000000"/>
                <w:sz w:val="22"/>
                <w:szCs w:val="22"/>
              </w:rPr>
              <w:t xml:space="preserve"> projektstyrningsmodell</w:t>
            </w:r>
            <w:r w:rsidR="00812809">
              <w:rPr>
                <w:rStyle w:val="Fotnotsreferens"/>
                <w:rFonts w:ascii="Calibri" w:hAnsi="Calibri" w:cs="Calibri"/>
                <w:color w:val="000000"/>
                <w:sz w:val="22"/>
                <w:szCs w:val="22"/>
              </w:rPr>
              <w:footnoteReference w:id="13"/>
            </w:r>
            <w:r w:rsidR="00812809">
              <w:rPr>
                <w:rFonts w:ascii="Calibri" w:hAnsi="Calibri" w:cs="Calibri"/>
                <w:color w:val="000000"/>
                <w:sz w:val="22"/>
                <w:szCs w:val="22"/>
              </w:rPr>
              <w:t xml:space="preserve">. </w:t>
            </w:r>
          </w:p>
        </w:tc>
      </w:tr>
      <w:tr w:rsidR="002D7ABC" w:rsidRPr="002D7ABC" w14:paraId="59EB22E8" w14:textId="77777777" w:rsidTr="008A3ECA">
        <w:tc>
          <w:tcPr>
            <w:tcW w:w="7360" w:type="dxa"/>
            <w:tcBorders>
              <w:top w:val="nil"/>
              <w:left w:val="nil"/>
              <w:bottom w:val="nil"/>
              <w:right w:val="nil"/>
            </w:tcBorders>
            <w:shd w:val="clear" w:color="auto" w:fill="auto"/>
          </w:tcPr>
          <w:p w14:paraId="02BDE11F" w14:textId="77777777" w:rsidR="002D7ABC" w:rsidRPr="0084456E" w:rsidRDefault="002D7ABC" w:rsidP="002D7ABC">
            <w:pPr>
              <w:pStyle w:val="Brdtext"/>
              <w:rPr>
                <w:rFonts w:ascii="Calibri" w:hAnsi="Calibri" w:cs="Calibri"/>
                <w:color w:val="000000"/>
                <w:sz w:val="22"/>
                <w:szCs w:val="22"/>
                <w:u w:val="single"/>
              </w:rPr>
            </w:pPr>
            <w:r w:rsidRPr="0084456E">
              <w:rPr>
                <w:rFonts w:ascii="Calibri" w:hAnsi="Calibri" w:cs="Calibri"/>
                <w:color w:val="000000"/>
                <w:sz w:val="22"/>
                <w:szCs w:val="22"/>
                <w:u w:val="single"/>
              </w:rPr>
              <w:t>Agerar referensgrupp</w:t>
            </w:r>
          </w:p>
          <w:p w14:paraId="1E840AC9" w14:textId="0A089B10" w:rsidR="000F7B48" w:rsidRDefault="00214179" w:rsidP="000F7B48">
            <w:pPr>
              <w:pStyle w:val="Brdtext"/>
              <w:rPr>
                <w:rFonts w:ascii="Calibri" w:hAnsi="Calibri" w:cs="Calibri"/>
                <w:color w:val="000000"/>
                <w:sz w:val="22"/>
                <w:szCs w:val="22"/>
              </w:rPr>
            </w:pPr>
            <w:r>
              <w:rPr>
                <w:rFonts w:ascii="Calibri" w:hAnsi="Calibri" w:cs="Calibri"/>
                <w:color w:val="000000"/>
                <w:sz w:val="22"/>
                <w:szCs w:val="22"/>
              </w:rPr>
              <w:t>NSO</w:t>
            </w:r>
            <w:r w:rsidR="000A131F">
              <w:rPr>
                <w:rFonts w:ascii="Calibri" w:hAnsi="Calibri" w:cs="Calibri"/>
                <w:color w:val="000000"/>
                <w:sz w:val="22"/>
                <w:szCs w:val="22"/>
              </w:rPr>
              <w:t>-</w:t>
            </w:r>
            <w:r>
              <w:rPr>
                <w:rFonts w:ascii="Calibri" w:hAnsi="Calibri" w:cs="Calibri"/>
                <w:color w:val="000000"/>
                <w:sz w:val="22"/>
                <w:szCs w:val="22"/>
              </w:rPr>
              <w:t xml:space="preserve">myndigheterna hanterar årligen en stor mängd remisser och andra ärenden som på olika sätt </w:t>
            </w:r>
            <w:r w:rsidR="00821B16">
              <w:rPr>
                <w:rFonts w:ascii="Calibri" w:hAnsi="Calibri" w:cs="Calibri"/>
                <w:color w:val="000000"/>
                <w:sz w:val="22"/>
                <w:szCs w:val="22"/>
              </w:rPr>
              <w:t>påverkar eller berör</w:t>
            </w:r>
            <w:r>
              <w:rPr>
                <w:rFonts w:ascii="Calibri" w:hAnsi="Calibri" w:cs="Calibri"/>
                <w:color w:val="000000"/>
                <w:sz w:val="22"/>
                <w:szCs w:val="22"/>
              </w:rPr>
              <w:t xml:space="preserve"> </w:t>
            </w:r>
            <w:r w:rsidR="00B002F0">
              <w:rPr>
                <w:rFonts w:ascii="Calibri" w:hAnsi="Calibri" w:cs="Calibri"/>
                <w:color w:val="000000"/>
                <w:sz w:val="22"/>
                <w:szCs w:val="22"/>
              </w:rPr>
              <w:t xml:space="preserve">svenskt </w:t>
            </w:r>
            <w:r>
              <w:rPr>
                <w:rFonts w:ascii="Calibri" w:hAnsi="Calibri" w:cs="Calibri"/>
                <w:color w:val="000000"/>
                <w:sz w:val="22"/>
                <w:szCs w:val="22"/>
              </w:rPr>
              <w:t>oljeskadeskydd.</w:t>
            </w:r>
            <w:r w:rsidR="000F7B48">
              <w:rPr>
                <w:rFonts w:ascii="Calibri" w:hAnsi="Calibri" w:cs="Calibri"/>
                <w:color w:val="000000"/>
                <w:sz w:val="22"/>
                <w:szCs w:val="22"/>
              </w:rPr>
              <w:t xml:space="preserve"> </w:t>
            </w:r>
            <w:r w:rsidR="00FB31C1">
              <w:rPr>
                <w:rFonts w:ascii="Calibri" w:hAnsi="Calibri" w:cs="Calibri"/>
                <w:color w:val="000000"/>
                <w:sz w:val="22"/>
                <w:szCs w:val="22"/>
              </w:rPr>
              <w:t xml:space="preserve">Genom att </w:t>
            </w:r>
            <w:r w:rsidR="000F7B48">
              <w:rPr>
                <w:rFonts w:ascii="Calibri" w:hAnsi="Calibri" w:cs="Calibri"/>
                <w:color w:val="000000"/>
                <w:sz w:val="22"/>
                <w:szCs w:val="22"/>
              </w:rPr>
              <w:t xml:space="preserve">diskutera olika ställningstaganden </w:t>
            </w:r>
            <w:r w:rsidR="00FC7E39">
              <w:rPr>
                <w:rFonts w:ascii="Calibri" w:hAnsi="Calibri" w:cs="Calibri"/>
                <w:color w:val="000000"/>
                <w:sz w:val="22"/>
                <w:szCs w:val="22"/>
              </w:rPr>
              <w:t xml:space="preserve">ur </w:t>
            </w:r>
            <w:r w:rsidR="000F7B48">
              <w:rPr>
                <w:rFonts w:ascii="Calibri" w:hAnsi="Calibri" w:cs="Calibri"/>
                <w:color w:val="000000"/>
                <w:sz w:val="22"/>
                <w:szCs w:val="22"/>
              </w:rPr>
              <w:t>ett övergripande samhälls- och miljöperspektiv</w:t>
            </w:r>
            <w:r w:rsidR="00FB31C1">
              <w:rPr>
                <w:rFonts w:ascii="Calibri" w:hAnsi="Calibri" w:cs="Calibri"/>
                <w:color w:val="000000"/>
                <w:sz w:val="22"/>
                <w:szCs w:val="22"/>
              </w:rPr>
              <w:t xml:space="preserve"> </w:t>
            </w:r>
            <w:r w:rsidR="001109CA">
              <w:rPr>
                <w:rFonts w:ascii="Calibri" w:hAnsi="Calibri" w:cs="Calibri"/>
                <w:color w:val="000000"/>
                <w:sz w:val="22"/>
                <w:szCs w:val="22"/>
              </w:rPr>
              <w:t xml:space="preserve">kopplat till sakområdet </w:t>
            </w:r>
            <w:r w:rsidR="00FB31C1">
              <w:rPr>
                <w:rFonts w:ascii="Calibri" w:hAnsi="Calibri" w:cs="Calibri"/>
                <w:color w:val="000000"/>
                <w:sz w:val="22"/>
                <w:szCs w:val="22"/>
              </w:rPr>
              <w:t xml:space="preserve">skapas mervärden och kvalitativa yttranden. Detta är </w:t>
            </w:r>
            <w:r w:rsidR="001109CA">
              <w:rPr>
                <w:rFonts w:ascii="Calibri" w:hAnsi="Calibri" w:cs="Calibri"/>
                <w:color w:val="000000"/>
                <w:sz w:val="22"/>
                <w:szCs w:val="22"/>
              </w:rPr>
              <w:t>ofta</w:t>
            </w:r>
            <w:r w:rsidR="00FB31C1">
              <w:rPr>
                <w:rFonts w:ascii="Calibri" w:hAnsi="Calibri" w:cs="Calibri"/>
                <w:color w:val="000000"/>
                <w:sz w:val="22"/>
                <w:szCs w:val="22"/>
              </w:rPr>
              <w:t xml:space="preserve"> ett osynligt </w:t>
            </w:r>
            <w:r w:rsidR="00FC7E39">
              <w:rPr>
                <w:rFonts w:ascii="Calibri" w:hAnsi="Calibri" w:cs="Calibri"/>
                <w:color w:val="000000"/>
                <w:sz w:val="22"/>
                <w:szCs w:val="22"/>
              </w:rPr>
              <w:t xml:space="preserve">resultat </w:t>
            </w:r>
            <w:r w:rsidR="00FB31C1">
              <w:rPr>
                <w:rFonts w:ascii="Calibri" w:hAnsi="Calibri" w:cs="Calibri"/>
                <w:color w:val="000000"/>
                <w:sz w:val="22"/>
                <w:szCs w:val="22"/>
              </w:rPr>
              <w:t xml:space="preserve">av NSO:s löpande </w:t>
            </w:r>
            <w:r w:rsidR="001109CA">
              <w:rPr>
                <w:rFonts w:ascii="Calibri" w:hAnsi="Calibri" w:cs="Calibri"/>
                <w:color w:val="000000"/>
                <w:sz w:val="22"/>
                <w:szCs w:val="22"/>
              </w:rPr>
              <w:t>samverkan</w:t>
            </w:r>
            <w:r w:rsidR="00FB31C1">
              <w:rPr>
                <w:rFonts w:ascii="Calibri" w:hAnsi="Calibri" w:cs="Calibri"/>
                <w:color w:val="000000"/>
                <w:sz w:val="22"/>
                <w:szCs w:val="22"/>
              </w:rPr>
              <w:t xml:space="preserve">. </w:t>
            </w:r>
            <w:r w:rsidR="00B002F0">
              <w:rPr>
                <w:rFonts w:ascii="Calibri" w:hAnsi="Calibri" w:cs="Calibri"/>
                <w:color w:val="000000"/>
                <w:sz w:val="22"/>
                <w:szCs w:val="22"/>
              </w:rPr>
              <w:t xml:space="preserve">NSO </w:t>
            </w:r>
            <w:r w:rsidR="006E068D">
              <w:rPr>
                <w:rFonts w:ascii="Calibri" w:hAnsi="Calibri" w:cs="Calibri"/>
                <w:color w:val="000000"/>
                <w:sz w:val="22"/>
                <w:szCs w:val="22"/>
              </w:rPr>
              <w:t>eller utvalda företrädare</w:t>
            </w:r>
            <w:r w:rsidR="00FB31C1">
              <w:rPr>
                <w:rFonts w:ascii="Calibri" w:hAnsi="Calibri" w:cs="Calibri"/>
                <w:color w:val="000000"/>
                <w:sz w:val="22"/>
                <w:szCs w:val="22"/>
              </w:rPr>
              <w:t xml:space="preserve"> från gruppen</w:t>
            </w:r>
            <w:r w:rsidR="006E068D">
              <w:rPr>
                <w:rFonts w:ascii="Calibri" w:hAnsi="Calibri" w:cs="Calibri"/>
                <w:color w:val="000000"/>
                <w:sz w:val="22"/>
                <w:szCs w:val="22"/>
              </w:rPr>
              <w:t xml:space="preserve"> </w:t>
            </w:r>
            <w:r w:rsidR="000F7B48">
              <w:rPr>
                <w:rFonts w:ascii="Calibri" w:hAnsi="Calibri" w:cs="Calibri"/>
                <w:color w:val="000000"/>
                <w:sz w:val="22"/>
                <w:szCs w:val="22"/>
              </w:rPr>
              <w:t xml:space="preserve">kan </w:t>
            </w:r>
            <w:r w:rsidR="006E068D">
              <w:rPr>
                <w:rFonts w:ascii="Calibri" w:hAnsi="Calibri" w:cs="Calibri"/>
                <w:color w:val="000000"/>
                <w:sz w:val="22"/>
                <w:szCs w:val="22"/>
              </w:rPr>
              <w:t xml:space="preserve">även </w:t>
            </w:r>
            <w:r w:rsidR="000F7B48">
              <w:rPr>
                <w:rFonts w:ascii="Calibri" w:hAnsi="Calibri" w:cs="Calibri"/>
                <w:color w:val="000000"/>
                <w:sz w:val="22"/>
                <w:szCs w:val="22"/>
              </w:rPr>
              <w:t xml:space="preserve">bli </w:t>
            </w:r>
            <w:r w:rsidR="00B002F0">
              <w:rPr>
                <w:rFonts w:ascii="Calibri" w:hAnsi="Calibri" w:cs="Calibri"/>
                <w:color w:val="000000"/>
                <w:sz w:val="22"/>
                <w:szCs w:val="22"/>
              </w:rPr>
              <w:t>tillfrågad</w:t>
            </w:r>
            <w:r w:rsidR="006E068D">
              <w:rPr>
                <w:rFonts w:ascii="Calibri" w:hAnsi="Calibri" w:cs="Calibri"/>
                <w:color w:val="000000"/>
                <w:sz w:val="22"/>
                <w:szCs w:val="22"/>
              </w:rPr>
              <w:t>e</w:t>
            </w:r>
            <w:r w:rsidR="00B002F0">
              <w:rPr>
                <w:rFonts w:ascii="Calibri" w:hAnsi="Calibri" w:cs="Calibri"/>
                <w:color w:val="000000"/>
                <w:sz w:val="22"/>
                <w:szCs w:val="22"/>
              </w:rPr>
              <w:t xml:space="preserve"> om att ingå i referensgrupper för</w:t>
            </w:r>
            <w:r w:rsidR="006E068D">
              <w:rPr>
                <w:rFonts w:ascii="Calibri" w:hAnsi="Calibri" w:cs="Calibri"/>
                <w:color w:val="000000"/>
                <w:sz w:val="22"/>
                <w:szCs w:val="22"/>
              </w:rPr>
              <w:t xml:space="preserve"> exempelvis</w:t>
            </w:r>
            <w:r w:rsidR="00B002F0">
              <w:rPr>
                <w:rFonts w:ascii="Calibri" w:hAnsi="Calibri" w:cs="Calibri"/>
                <w:color w:val="000000"/>
                <w:sz w:val="22"/>
                <w:szCs w:val="22"/>
              </w:rPr>
              <w:t xml:space="preserve"> utvecklingsprojekt. </w:t>
            </w:r>
            <w:r w:rsidR="000F7B48">
              <w:rPr>
                <w:rFonts w:ascii="Calibri" w:hAnsi="Calibri" w:cs="Calibri"/>
                <w:color w:val="000000"/>
                <w:sz w:val="22"/>
                <w:szCs w:val="22"/>
              </w:rPr>
              <w:t>Ett sådant exempel är projektet för</w:t>
            </w:r>
            <w:r w:rsidR="001109CA">
              <w:rPr>
                <w:rFonts w:ascii="Calibri" w:hAnsi="Calibri" w:cs="Calibri"/>
                <w:color w:val="000000"/>
                <w:sz w:val="22"/>
                <w:szCs w:val="22"/>
              </w:rPr>
              <w:t xml:space="preserve"> framtagandet av</w:t>
            </w:r>
            <w:r w:rsidR="000F7B48">
              <w:rPr>
                <w:rFonts w:ascii="Calibri" w:hAnsi="Calibri" w:cs="Calibri"/>
                <w:color w:val="000000"/>
                <w:sz w:val="22"/>
                <w:szCs w:val="22"/>
              </w:rPr>
              <w:t xml:space="preserve"> Stockholms läns regionala olj</w:t>
            </w:r>
            <w:r w:rsidR="00FC7E39">
              <w:rPr>
                <w:rFonts w:ascii="Calibri" w:hAnsi="Calibri" w:cs="Calibri"/>
                <w:color w:val="000000"/>
                <w:sz w:val="22"/>
                <w:szCs w:val="22"/>
              </w:rPr>
              <w:t>eskyddsplan</w:t>
            </w:r>
            <w:r w:rsidR="000F7B48">
              <w:rPr>
                <w:rFonts w:ascii="Calibri" w:hAnsi="Calibri" w:cs="Calibri"/>
                <w:color w:val="000000"/>
                <w:sz w:val="22"/>
                <w:szCs w:val="22"/>
              </w:rPr>
              <w:t xml:space="preserve">. </w:t>
            </w:r>
          </w:p>
          <w:p w14:paraId="1AD78A8E" w14:textId="45046C3C" w:rsidR="00955FC1" w:rsidRPr="00105082" w:rsidRDefault="000F7B48" w:rsidP="005343B1">
            <w:pPr>
              <w:pStyle w:val="Brdtext"/>
              <w:rPr>
                <w:rFonts w:ascii="Calibri" w:hAnsi="Calibri" w:cs="Calibri"/>
                <w:color w:val="000000"/>
                <w:sz w:val="22"/>
                <w:szCs w:val="22"/>
              </w:rPr>
            </w:pPr>
            <w:r>
              <w:rPr>
                <w:rFonts w:ascii="Calibri" w:hAnsi="Calibri" w:cs="Calibri"/>
                <w:color w:val="000000"/>
                <w:sz w:val="22"/>
                <w:szCs w:val="22"/>
              </w:rPr>
              <w:t>Det finns</w:t>
            </w:r>
            <w:r w:rsidR="00FB31C1">
              <w:rPr>
                <w:rFonts w:ascii="Calibri" w:hAnsi="Calibri" w:cs="Calibri"/>
                <w:color w:val="000000"/>
                <w:sz w:val="22"/>
                <w:szCs w:val="22"/>
              </w:rPr>
              <w:t xml:space="preserve"> outnyttjad</w:t>
            </w:r>
            <w:r>
              <w:rPr>
                <w:rFonts w:ascii="Calibri" w:hAnsi="Calibri" w:cs="Calibri"/>
                <w:color w:val="000000"/>
                <w:sz w:val="22"/>
                <w:szCs w:val="22"/>
              </w:rPr>
              <w:t xml:space="preserve"> potential för </w:t>
            </w:r>
            <w:r w:rsidR="00105082">
              <w:rPr>
                <w:rFonts w:ascii="Calibri" w:hAnsi="Calibri" w:cs="Calibri"/>
                <w:color w:val="000000"/>
                <w:sz w:val="22"/>
                <w:szCs w:val="22"/>
              </w:rPr>
              <w:t xml:space="preserve">t.ex. </w:t>
            </w:r>
            <w:r>
              <w:rPr>
                <w:rFonts w:ascii="Calibri" w:hAnsi="Calibri" w:cs="Calibri"/>
                <w:color w:val="000000"/>
                <w:sz w:val="22"/>
                <w:szCs w:val="22"/>
              </w:rPr>
              <w:t xml:space="preserve">regeringen </w:t>
            </w:r>
            <w:r w:rsidR="00105082">
              <w:rPr>
                <w:rFonts w:ascii="Calibri" w:hAnsi="Calibri" w:cs="Calibri"/>
                <w:color w:val="000000"/>
                <w:sz w:val="22"/>
                <w:szCs w:val="22"/>
              </w:rPr>
              <w:t>och myndighetsledningar a</w:t>
            </w:r>
            <w:r>
              <w:rPr>
                <w:rFonts w:ascii="Calibri" w:hAnsi="Calibri" w:cs="Calibri"/>
                <w:color w:val="000000"/>
                <w:sz w:val="22"/>
                <w:szCs w:val="22"/>
              </w:rPr>
              <w:t xml:space="preserve">tt nyttja </w:t>
            </w:r>
            <w:r w:rsidR="006E068D">
              <w:rPr>
                <w:rFonts w:ascii="Calibri" w:hAnsi="Calibri" w:cs="Calibri"/>
                <w:color w:val="000000"/>
                <w:sz w:val="22"/>
                <w:szCs w:val="22"/>
              </w:rPr>
              <w:t>NSO</w:t>
            </w:r>
            <w:r>
              <w:rPr>
                <w:rFonts w:ascii="Calibri" w:hAnsi="Calibri" w:cs="Calibri"/>
                <w:color w:val="000000"/>
                <w:sz w:val="22"/>
                <w:szCs w:val="22"/>
              </w:rPr>
              <w:t xml:space="preserve">:s </w:t>
            </w:r>
            <w:r w:rsidR="00105082">
              <w:rPr>
                <w:rFonts w:ascii="Calibri" w:hAnsi="Calibri" w:cs="Calibri"/>
                <w:color w:val="000000"/>
                <w:sz w:val="22"/>
                <w:szCs w:val="22"/>
              </w:rPr>
              <w:t xml:space="preserve">långa historik och unikt breda kompetens </w:t>
            </w:r>
            <w:r>
              <w:rPr>
                <w:rFonts w:ascii="Calibri" w:hAnsi="Calibri" w:cs="Calibri"/>
                <w:color w:val="000000"/>
                <w:sz w:val="22"/>
                <w:szCs w:val="22"/>
              </w:rPr>
              <w:t xml:space="preserve">för </w:t>
            </w:r>
            <w:r w:rsidR="00105082">
              <w:rPr>
                <w:rFonts w:ascii="Calibri" w:hAnsi="Calibri" w:cs="Calibri"/>
                <w:color w:val="000000"/>
                <w:sz w:val="22"/>
                <w:szCs w:val="22"/>
              </w:rPr>
              <w:t xml:space="preserve">strategisk </w:t>
            </w:r>
            <w:r>
              <w:rPr>
                <w:rFonts w:ascii="Calibri" w:hAnsi="Calibri" w:cs="Calibri"/>
                <w:color w:val="000000"/>
                <w:sz w:val="22"/>
                <w:szCs w:val="22"/>
              </w:rPr>
              <w:t>rådgivning</w:t>
            </w:r>
            <w:r w:rsidR="00FB31C1">
              <w:rPr>
                <w:rStyle w:val="Fotnotsreferens"/>
                <w:rFonts w:ascii="Calibri" w:hAnsi="Calibri" w:cs="Calibri"/>
                <w:color w:val="000000"/>
                <w:sz w:val="22"/>
                <w:szCs w:val="22"/>
              </w:rPr>
              <w:footnoteReference w:id="14"/>
            </w:r>
            <w:r w:rsidR="00105082">
              <w:rPr>
                <w:rFonts w:ascii="Calibri" w:hAnsi="Calibri" w:cs="Calibri"/>
                <w:color w:val="000000"/>
                <w:sz w:val="22"/>
                <w:szCs w:val="22"/>
              </w:rPr>
              <w:t>.</w:t>
            </w:r>
            <w:r w:rsidR="00FB31C1">
              <w:rPr>
                <w:rFonts w:ascii="Calibri" w:hAnsi="Calibri" w:cs="Calibri"/>
                <w:color w:val="000000"/>
                <w:sz w:val="22"/>
                <w:szCs w:val="22"/>
              </w:rPr>
              <w:t xml:space="preserve"> </w:t>
            </w:r>
            <w:r w:rsidR="00105082">
              <w:rPr>
                <w:rFonts w:ascii="Calibri" w:hAnsi="Calibri" w:cs="Calibri"/>
                <w:color w:val="000000"/>
                <w:sz w:val="22"/>
                <w:szCs w:val="22"/>
              </w:rPr>
              <w:t>G</w:t>
            </w:r>
            <w:r w:rsidR="00FB31C1">
              <w:rPr>
                <w:rFonts w:ascii="Calibri" w:hAnsi="Calibri" w:cs="Calibri"/>
                <w:color w:val="000000"/>
                <w:sz w:val="22"/>
                <w:szCs w:val="22"/>
              </w:rPr>
              <w:t>ruppens</w:t>
            </w:r>
            <w:r w:rsidR="006E068D">
              <w:rPr>
                <w:rFonts w:ascii="Calibri" w:hAnsi="Calibri" w:cs="Calibri"/>
                <w:color w:val="000000"/>
                <w:sz w:val="22"/>
                <w:szCs w:val="22"/>
              </w:rPr>
              <w:t xml:space="preserve"> företrädare bidrar </w:t>
            </w:r>
            <w:r w:rsidR="00105082">
              <w:rPr>
                <w:rFonts w:ascii="Calibri" w:hAnsi="Calibri" w:cs="Calibri"/>
                <w:color w:val="000000"/>
                <w:sz w:val="22"/>
                <w:szCs w:val="22"/>
              </w:rPr>
              <w:t xml:space="preserve">tillsammans </w:t>
            </w:r>
            <w:r w:rsidR="006E068D">
              <w:rPr>
                <w:rFonts w:ascii="Calibri" w:hAnsi="Calibri" w:cs="Calibri"/>
                <w:color w:val="000000"/>
                <w:sz w:val="22"/>
                <w:szCs w:val="22"/>
              </w:rPr>
              <w:t xml:space="preserve">med de väsentliga pusselbitar som </w:t>
            </w:r>
            <w:r w:rsidR="00105082">
              <w:rPr>
                <w:rFonts w:ascii="Calibri" w:hAnsi="Calibri" w:cs="Calibri"/>
                <w:color w:val="000000"/>
                <w:sz w:val="22"/>
                <w:szCs w:val="22"/>
              </w:rPr>
              <w:t>behövs för att skap</w:t>
            </w:r>
            <w:r>
              <w:rPr>
                <w:rFonts w:ascii="Calibri" w:hAnsi="Calibri" w:cs="Calibri"/>
                <w:color w:val="000000"/>
                <w:sz w:val="22"/>
                <w:szCs w:val="22"/>
              </w:rPr>
              <w:t>a en övergripande och strategisk bild på systemnivå.</w:t>
            </w:r>
            <w:r w:rsidR="00105082">
              <w:rPr>
                <w:rFonts w:ascii="Calibri" w:hAnsi="Calibri" w:cs="Calibri"/>
                <w:color w:val="000000"/>
                <w:sz w:val="22"/>
                <w:szCs w:val="22"/>
              </w:rPr>
              <w:t xml:space="preserve"> </w:t>
            </w:r>
            <w:r w:rsidR="005343B1">
              <w:rPr>
                <w:rFonts w:ascii="Calibri" w:hAnsi="Calibri" w:cs="Calibri"/>
                <w:color w:val="000000"/>
                <w:sz w:val="22"/>
                <w:szCs w:val="22"/>
              </w:rPr>
              <w:t xml:space="preserve">NSO:s myndigheter kommer från fyra av regeringens elva </w:t>
            </w:r>
            <w:r w:rsidR="005343B1">
              <w:rPr>
                <w:rFonts w:ascii="Calibri" w:hAnsi="Calibri" w:cs="Calibri"/>
                <w:color w:val="000000"/>
                <w:sz w:val="22"/>
                <w:szCs w:val="22"/>
              </w:rPr>
              <w:lastRenderedPageBreak/>
              <w:t>departement</w:t>
            </w:r>
            <w:r w:rsidR="005343B1">
              <w:rPr>
                <w:rStyle w:val="Fotnotsreferens"/>
                <w:rFonts w:ascii="Calibri" w:hAnsi="Calibri" w:cs="Calibri"/>
                <w:color w:val="000000"/>
                <w:sz w:val="22"/>
                <w:szCs w:val="22"/>
              </w:rPr>
              <w:footnoteReference w:id="15"/>
            </w:r>
            <w:r w:rsidR="005343B1">
              <w:rPr>
                <w:rFonts w:ascii="Calibri" w:hAnsi="Calibri" w:cs="Calibri"/>
                <w:color w:val="000000"/>
                <w:sz w:val="22"/>
                <w:szCs w:val="22"/>
              </w:rPr>
              <w:t xml:space="preserve">. </w:t>
            </w:r>
            <w:r w:rsidR="00105082">
              <w:rPr>
                <w:rFonts w:ascii="Calibri" w:hAnsi="Calibri" w:cs="Calibri"/>
                <w:color w:val="000000"/>
                <w:sz w:val="22"/>
                <w:szCs w:val="22"/>
              </w:rPr>
              <w:t xml:space="preserve">Ingen annan enskild aktör har </w:t>
            </w:r>
            <w:r w:rsidR="001109CA">
              <w:rPr>
                <w:rFonts w:ascii="Calibri" w:hAnsi="Calibri" w:cs="Calibri"/>
                <w:color w:val="000000"/>
                <w:sz w:val="22"/>
                <w:szCs w:val="22"/>
              </w:rPr>
              <w:t xml:space="preserve">motsvarande </w:t>
            </w:r>
            <w:r w:rsidR="00105082">
              <w:rPr>
                <w:rFonts w:ascii="Calibri" w:hAnsi="Calibri" w:cs="Calibri"/>
                <w:color w:val="000000"/>
                <w:sz w:val="22"/>
                <w:szCs w:val="22"/>
              </w:rPr>
              <w:t>helhetsbild</w:t>
            </w:r>
            <w:r w:rsidR="001109CA">
              <w:rPr>
                <w:rFonts w:ascii="Calibri" w:hAnsi="Calibri" w:cs="Calibri"/>
                <w:color w:val="000000"/>
                <w:sz w:val="22"/>
                <w:szCs w:val="22"/>
              </w:rPr>
              <w:t xml:space="preserve"> och samlade kompetens</w:t>
            </w:r>
            <w:r w:rsidR="005343B1">
              <w:rPr>
                <w:rFonts w:ascii="Calibri" w:hAnsi="Calibri" w:cs="Calibri"/>
                <w:color w:val="000000"/>
                <w:sz w:val="22"/>
                <w:szCs w:val="22"/>
              </w:rPr>
              <w:t xml:space="preserve"> inom området</w:t>
            </w:r>
            <w:r w:rsidR="00105082">
              <w:rPr>
                <w:rFonts w:ascii="Calibri" w:hAnsi="Calibri" w:cs="Calibri"/>
                <w:color w:val="000000"/>
                <w:sz w:val="22"/>
                <w:szCs w:val="22"/>
              </w:rPr>
              <w:t>.</w:t>
            </w:r>
            <w:r w:rsidR="001109CA">
              <w:rPr>
                <w:rFonts w:ascii="Calibri" w:hAnsi="Calibri" w:cs="Calibri"/>
                <w:color w:val="000000"/>
                <w:sz w:val="22"/>
                <w:szCs w:val="22"/>
              </w:rPr>
              <w:t xml:space="preserve"> </w:t>
            </w:r>
            <w:r w:rsidR="005343B1">
              <w:rPr>
                <w:rFonts w:ascii="Calibri" w:hAnsi="Calibri" w:cs="Calibri"/>
                <w:color w:val="000000"/>
                <w:sz w:val="22"/>
                <w:szCs w:val="22"/>
              </w:rPr>
              <w:t xml:space="preserve"> </w:t>
            </w:r>
          </w:p>
        </w:tc>
      </w:tr>
    </w:tbl>
    <w:p w14:paraId="25E96E54" w14:textId="77777777" w:rsidR="0024401E" w:rsidRDefault="0024401E" w:rsidP="00C4129A">
      <w:pPr>
        <w:rPr>
          <w:rFonts w:ascii="Calibri" w:hAnsi="Calibri" w:cs="Calibri"/>
          <w:color w:val="000000"/>
          <w:sz w:val="22"/>
          <w:szCs w:val="22"/>
        </w:rPr>
      </w:pPr>
    </w:p>
    <w:p w14:paraId="289C099C" w14:textId="77777777" w:rsidR="00386BBE" w:rsidRDefault="00386BBE" w:rsidP="00673E4B">
      <w:pPr>
        <w:pStyle w:val="Rubrik2"/>
        <w:numPr>
          <w:ilvl w:val="0"/>
          <w:numId w:val="0"/>
        </w:numPr>
        <w:ind w:left="737" w:hanging="737"/>
      </w:pPr>
    </w:p>
    <w:p w14:paraId="05296105" w14:textId="77777777" w:rsidR="0006040F" w:rsidRDefault="00043C91" w:rsidP="00456AB9">
      <w:pPr>
        <w:pStyle w:val="Rubrik1"/>
      </w:pPr>
      <w:bookmarkStart w:id="12" w:name="_Toc93561712"/>
      <w:r>
        <w:t>Å</w:t>
      </w:r>
      <w:r w:rsidR="00B24304">
        <w:t>tgärder för att uppnå strategins mål</w:t>
      </w:r>
      <w:r w:rsidR="00682964">
        <w:t>sättningar</w:t>
      </w:r>
      <w:bookmarkEnd w:id="12"/>
      <w:r w:rsidR="00B24304">
        <w:t xml:space="preserve"> </w:t>
      </w:r>
    </w:p>
    <w:p w14:paraId="1F7BC1E7" w14:textId="32D23A6B" w:rsidR="001B6CFB" w:rsidRPr="00EC21D5" w:rsidRDefault="001B6CFB" w:rsidP="001B6CFB">
      <w:pPr>
        <w:pStyle w:val="Brdtext"/>
      </w:pPr>
      <w:r>
        <w:t>Strategin är inriktande</w:t>
      </w:r>
      <w:r w:rsidR="000C2794">
        <w:t xml:space="preserve"> för den förmåga som ska skapas och anger målsättningar på längre sikt. Handlingsplanen pekar ut konkreta åtgärder på kort sikt som aktörerna ska prioritera för att uppnå strategins mål. Åtgärderna har grupperats i </w:t>
      </w:r>
      <w:r w:rsidR="000A4B35" w:rsidRPr="00C5086C">
        <w:t>två</w:t>
      </w:r>
      <w:r w:rsidRPr="00C5086C">
        <w:t xml:space="preserve"> </w:t>
      </w:r>
      <w:r>
        <w:t>fokusområden</w:t>
      </w:r>
      <w:r w:rsidR="00E524EB">
        <w:t>:</w:t>
      </w:r>
    </w:p>
    <w:p w14:paraId="18B18B12" w14:textId="77777777" w:rsidR="001B6CFB" w:rsidRDefault="00327491" w:rsidP="001B6CFB">
      <w:pPr>
        <w:pStyle w:val="Brdtext"/>
        <w:numPr>
          <w:ilvl w:val="0"/>
          <w:numId w:val="14"/>
        </w:numPr>
      </w:pPr>
      <w:r>
        <w:t>Inriktning och samordning</w:t>
      </w:r>
    </w:p>
    <w:p w14:paraId="2DBBE4CE" w14:textId="745CE85E" w:rsidR="00E524EB" w:rsidRDefault="001B6CFB" w:rsidP="000C2794">
      <w:pPr>
        <w:pStyle w:val="Brdtext"/>
        <w:numPr>
          <w:ilvl w:val="0"/>
          <w:numId w:val="14"/>
        </w:numPr>
      </w:pPr>
      <w:r w:rsidRPr="00945FF8">
        <w:t xml:space="preserve">Utbildning, övning och utveckling  </w:t>
      </w:r>
    </w:p>
    <w:p w14:paraId="39E67E84" w14:textId="3D06B5BA" w:rsidR="00EC4D86" w:rsidRDefault="000C2794" w:rsidP="00EC4D86">
      <w:pPr>
        <w:pStyle w:val="Brdtext"/>
      </w:pPr>
      <w:r>
        <w:t xml:space="preserve">För att förtydliga åtgärdernas intention har </w:t>
      </w:r>
      <w:r w:rsidR="00F14D9D">
        <w:t>åtgärder tagits fram</w:t>
      </w:r>
      <w:r>
        <w:t xml:space="preserve"> för </w:t>
      </w:r>
      <w:r w:rsidR="00433774">
        <w:t>nationell, regional och lokal nivå</w:t>
      </w:r>
      <w:r w:rsidR="00503396">
        <w:t xml:space="preserve">. </w:t>
      </w:r>
      <w:r w:rsidR="00EC4D86" w:rsidRPr="00657061">
        <w:t xml:space="preserve">Med </w:t>
      </w:r>
      <w:r w:rsidR="00EC4D86" w:rsidRPr="004B7FC7">
        <w:rPr>
          <w:iCs/>
        </w:rPr>
        <w:t>nationell nivå</w:t>
      </w:r>
      <w:r w:rsidR="00EC4D86" w:rsidRPr="00657061">
        <w:rPr>
          <w:i/>
          <w:iCs/>
        </w:rPr>
        <w:t xml:space="preserve"> </w:t>
      </w:r>
      <w:r w:rsidR="00EC4D86" w:rsidRPr="00657061">
        <w:t xml:space="preserve">avses </w:t>
      </w:r>
      <w:r w:rsidR="00EC4D86">
        <w:t xml:space="preserve">alla aktörer tillsammans och inkluderar centrala, regionala och lokala </w:t>
      </w:r>
      <w:r w:rsidR="00EC4D86" w:rsidRPr="00657061">
        <w:t>verksamhet</w:t>
      </w:r>
      <w:r w:rsidR="00EC4D86">
        <w:t xml:space="preserve">er och omfattar offentliga, </w:t>
      </w:r>
      <w:r w:rsidR="00EC4D86" w:rsidRPr="00657061">
        <w:t>privata</w:t>
      </w:r>
      <w:r w:rsidR="00EC4D86">
        <w:t xml:space="preserve"> och frivilliga</w:t>
      </w:r>
      <w:r w:rsidR="00EC4D86" w:rsidRPr="00657061">
        <w:t xml:space="preserve"> aktörer</w:t>
      </w:r>
      <w:r w:rsidR="00EC4D86">
        <w:t xml:space="preserve">. </w:t>
      </w:r>
      <w:r w:rsidR="00F14D9D">
        <w:t>Regionala aktörer är i detta sammanhang främst länsstyrelserna medan den lokala nivån främst avser kommunerna och kommunala förbund.</w:t>
      </w:r>
    </w:p>
    <w:p w14:paraId="313B9127" w14:textId="0F339031" w:rsidR="00E524EB" w:rsidRDefault="00E524EB" w:rsidP="00043C91">
      <w:pPr>
        <w:pStyle w:val="Brdtext"/>
      </w:pPr>
      <w:r>
        <w:t xml:space="preserve">Roller och ansvar för </w:t>
      </w:r>
      <w:r w:rsidRPr="00CB4D98">
        <w:t>de som ska agera</w:t>
      </w:r>
      <w:r>
        <w:t xml:space="preserve"> finns att läsa i </w:t>
      </w:r>
      <w:r w:rsidRPr="00115C45">
        <w:t>Bilaga 1</w:t>
      </w:r>
      <w:r>
        <w:t xml:space="preserve"> i strategins underlagsrapport.</w:t>
      </w:r>
    </w:p>
    <w:p w14:paraId="06ED5946" w14:textId="18461D32" w:rsidR="002B57EF" w:rsidRDefault="00E87CEF" w:rsidP="00043C91">
      <w:pPr>
        <w:pStyle w:val="Brdtext"/>
      </w:pPr>
      <w:r>
        <w:t xml:space="preserve">Begreppet åtgärd kan omfatta till exempel projekt, uppdrag, uppgift, åtagande, utredning, implementering och förvaltning. </w:t>
      </w:r>
    </w:p>
    <w:p w14:paraId="7EBB311E" w14:textId="4576843A" w:rsidR="00425253" w:rsidRDefault="00961CAA" w:rsidP="00043C91">
      <w:pPr>
        <w:pStyle w:val="Brdtext"/>
      </w:pPr>
      <w:r>
        <w:rPr>
          <w:noProof/>
        </w:rPr>
        <w:lastRenderedPageBreak/>
        <w:drawing>
          <wp:anchor distT="0" distB="0" distL="114300" distR="114300" simplePos="0" relativeHeight="251662338" behindDoc="0" locked="0" layoutInCell="1" allowOverlap="1" wp14:anchorId="39ED5CF2" wp14:editId="2963CFAC">
            <wp:simplePos x="0" y="0"/>
            <wp:positionH relativeFrom="margin">
              <wp:posOffset>24130</wp:posOffset>
            </wp:positionH>
            <wp:positionV relativeFrom="paragraph">
              <wp:posOffset>724535</wp:posOffset>
            </wp:positionV>
            <wp:extent cx="4757420" cy="4696460"/>
            <wp:effectExtent l="0" t="0" r="5080" b="0"/>
            <wp:wrapTopAndBottom/>
            <wp:docPr id="68" name="Bildobjekt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7420" cy="4696460"/>
                    </a:xfrm>
                    <a:prstGeom prst="rect">
                      <a:avLst/>
                    </a:prstGeom>
                    <a:noFill/>
                  </pic:spPr>
                </pic:pic>
              </a:graphicData>
            </a:graphic>
            <wp14:sizeRelH relativeFrom="margin">
              <wp14:pctWidth>0</wp14:pctWidth>
            </wp14:sizeRelH>
            <wp14:sizeRelV relativeFrom="margin">
              <wp14:pctHeight>0</wp14:pctHeight>
            </wp14:sizeRelV>
          </wp:anchor>
        </w:drawing>
      </w:r>
      <w:r w:rsidR="00EC11B4" w:rsidRPr="000C2794">
        <w:t xml:space="preserve">För att illustrera åtgärderna för de tre geografiska perspektiven och de två fokusområdena används nedanstående hus. </w:t>
      </w:r>
      <w:r w:rsidR="00A34500" w:rsidRPr="000C2794">
        <w:t xml:space="preserve">Toppen på huset </w:t>
      </w:r>
      <w:r w:rsidR="00EC11B4" w:rsidRPr="000C2794">
        <w:t xml:space="preserve">är det övergripande målet med </w:t>
      </w:r>
      <w:r w:rsidR="004A71DD" w:rsidRPr="000C2794">
        <w:t>Sveriges strategi för oljeskadeskydd.</w:t>
      </w:r>
    </w:p>
    <w:p w14:paraId="4E3E50D2" w14:textId="605AEB79" w:rsidR="00DE7B49" w:rsidRDefault="00DE7B49" w:rsidP="00043C91">
      <w:pPr>
        <w:pStyle w:val="Brdtext"/>
      </w:pPr>
    </w:p>
    <w:p w14:paraId="1B2BF909" w14:textId="5446B578" w:rsidR="000F159F" w:rsidRDefault="000F159F" w:rsidP="000F159F">
      <w:pPr>
        <w:pStyle w:val="Brdtext"/>
        <w:rPr>
          <w:i/>
        </w:rPr>
      </w:pPr>
      <w:r>
        <w:rPr>
          <w:i/>
        </w:rPr>
        <w:t xml:space="preserve">Figur </w:t>
      </w:r>
      <w:r w:rsidR="009A6369">
        <w:rPr>
          <w:i/>
        </w:rPr>
        <w:t>3</w:t>
      </w:r>
      <w:r>
        <w:rPr>
          <w:i/>
        </w:rPr>
        <w:t xml:space="preserve">. </w:t>
      </w:r>
      <w:r w:rsidR="00425253">
        <w:rPr>
          <w:i/>
        </w:rPr>
        <w:t xml:space="preserve">Sammanfattande bild av de </w:t>
      </w:r>
      <w:r w:rsidR="007E2604">
        <w:rPr>
          <w:i/>
        </w:rPr>
        <w:t>åtgärder</w:t>
      </w:r>
      <w:r w:rsidR="00425253">
        <w:rPr>
          <w:i/>
        </w:rPr>
        <w:t xml:space="preserve"> s</w:t>
      </w:r>
      <w:r w:rsidR="007E2604">
        <w:rPr>
          <w:i/>
        </w:rPr>
        <w:t>om identifierats för att nå det gemensamma målet ”Minimera miljöskada och skada på andra samhällsvärden”</w:t>
      </w:r>
      <w:r>
        <w:rPr>
          <w:i/>
        </w:rPr>
        <w:t xml:space="preserve"> </w:t>
      </w:r>
    </w:p>
    <w:p w14:paraId="4047BD0A" w14:textId="028F1196" w:rsidR="000F159F" w:rsidRDefault="000F159F" w:rsidP="00043C91">
      <w:pPr>
        <w:pStyle w:val="Brdtext"/>
      </w:pPr>
    </w:p>
    <w:p w14:paraId="5A867E7C" w14:textId="5AE1D450" w:rsidR="00D5297D" w:rsidRDefault="00D5297D" w:rsidP="00043C91">
      <w:pPr>
        <w:pStyle w:val="Brdtext"/>
      </w:pPr>
    </w:p>
    <w:p w14:paraId="74AF53C1" w14:textId="77777777" w:rsidR="008A7B9C" w:rsidRPr="00673E4B" w:rsidRDefault="00761D9F" w:rsidP="00456AB9">
      <w:pPr>
        <w:pStyle w:val="Rubrik2"/>
        <w:rPr>
          <w:u w:val="single"/>
        </w:rPr>
      </w:pPr>
      <w:bookmarkStart w:id="13" w:name="_Toc93561713"/>
      <w:r>
        <w:lastRenderedPageBreak/>
        <w:t xml:space="preserve">Fokusområde </w:t>
      </w:r>
      <w:r w:rsidR="00B6773C">
        <w:t>1</w:t>
      </w:r>
      <w:r>
        <w:t xml:space="preserve"> – </w:t>
      </w:r>
      <w:r w:rsidR="00821D86">
        <w:t>Inriktning och samordning</w:t>
      </w:r>
      <w:bookmarkEnd w:id="13"/>
    </w:p>
    <w:p w14:paraId="052D04DC" w14:textId="3C012230" w:rsidR="0027009C" w:rsidRDefault="00821D86" w:rsidP="00945FF8">
      <w:pPr>
        <w:pStyle w:val="Brdtext"/>
      </w:pPr>
      <w:r>
        <w:t xml:space="preserve">Inriktning och samordning är centrala termer i gemensamma grunder för </w:t>
      </w:r>
      <w:r w:rsidR="0027009C">
        <w:t>samverkan och ledning</w:t>
      </w:r>
      <w:r w:rsidR="0027009C">
        <w:rPr>
          <w:rStyle w:val="Fotnotsreferens"/>
        </w:rPr>
        <w:footnoteReference w:id="16"/>
      </w:r>
      <w:r w:rsidR="00CB4D98">
        <w:t xml:space="preserve">. De </w:t>
      </w:r>
      <w:r w:rsidR="00D2586D">
        <w:t xml:space="preserve">har definierats </w:t>
      </w:r>
      <w:r w:rsidR="002A4268">
        <w:t>för att undvika missförstånd och tidskrävande förklaringar.</w:t>
      </w:r>
    </w:p>
    <w:p w14:paraId="2B201535" w14:textId="27FBD47A" w:rsidR="0027009C" w:rsidRDefault="0027009C" w:rsidP="002A4268">
      <w:pPr>
        <w:pStyle w:val="Brdtext"/>
        <w:numPr>
          <w:ilvl w:val="0"/>
          <w:numId w:val="32"/>
        </w:numPr>
      </w:pPr>
      <w:r w:rsidRPr="0027009C">
        <w:rPr>
          <w:i/>
        </w:rPr>
        <w:t>Inriktning</w:t>
      </w:r>
      <w:r>
        <w:t xml:space="preserve"> är orientering av tillgängliga resurser mot formulerade mål. Varje aktör har alltid en egen inriktning. </w:t>
      </w:r>
      <w:r w:rsidRPr="00B9506A">
        <w:rPr>
          <w:i/>
        </w:rPr>
        <w:t>När flera aktörer fungerar tillsammans finns det också en aktörsgemensam inriktning.</w:t>
      </w:r>
      <w:r>
        <w:t xml:space="preserve"> </w:t>
      </w:r>
    </w:p>
    <w:p w14:paraId="08DA6F52" w14:textId="77777777" w:rsidR="00821D86" w:rsidRDefault="0027009C" w:rsidP="002A4268">
      <w:pPr>
        <w:pStyle w:val="Brdtext"/>
        <w:numPr>
          <w:ilvl w:val="0"/>
          <w:numId w:val="32"/>
        </w:numPr>
      </w:pPr>
      <w:r w:rsidRPr="0027009C">
        <w:rPr>
          <w:i/>
        </w:rPr>
        <w:t>Samordning</w:t>
      </w:r>
      <w:r>
        <w:t xml:space="preserve"> är anpassning till aktiviteter och delmål så att tillgängliga resurser kommer till största möjliga nytta. </w:t>
      </w:r>
      <w:r w:rsidRPr="00B9506A">
        <w:rPr>
          <w:i/>
        </w:rPr>
        <w:t>Samordning handlar om att aktörer inte ska vara i vägen för varandra, och hjälpa varandra där det går.</w:t>
      </w:r>
      <w:r>
        <w:t xml:space="preserve"> </w:t>
      </w:r>
    </w:p>
    <w:p w14:paraId="21F0C796" w14:textId="158C049D" w:rsidR="00B608D2" w:rsidRDefault="0027009C" w:rsidP="00945FF8">
      <w:pPr>
        <w:pStyle w:val="Brdtext"/>
      </w:pPr>
      <w:r>
        <w:t xml:space="preserve">En satsning på inriktning och samordning bedöms kunna bidra till alla prioriterade områden och målsättningar som strategin anger. I det ingår att </w:t>
      </w:r>
      <w:r w:rsidR="00FB4372">
        <w:t xml:space="preserve">tillsammans </w:t>
      </w:r>
      <w:r>
        <w:t>tydliggöra roller och ansvar</w:t>
      </w:r>
      <w:r w:rsidR="00FB4372">
        <w:t xml:space="preserve">, att </w:t>
      </w:r>
      <w:r w:rsidR="00AF55D2">
        <w:t>uppnå ökad perspektivförståelse och helhetssyn</w:t>
      </w:r>
      <w:r w:rsidR="00FB4372">
        <w:t>,</w:t>
      </w:r>
      <w:r w:rsidR="00AF55D2">
        <w:t xml:space="preserve"> </w:t>
      </w:r>
      <w:r w:rsidR="00FB4372">
        <w:t xml:space="preserve">samt öka </w:t>
      </w:r>
      <w:r w:rsidR="00AF55D2">
        <w:t xml:space="preserve">förmågan att agera </w:t>
      </w:r>
      <w:r w:rsidR="006E65F4">
        <w:t>tillsammans</w:t>
      </w:r>
      <w:r w:rsidR="00FB4372">
        <w:t>.</w:t>
      </w:r>
      <w:r w:rsidR="007D2622">
        <w:t xml:space="preserve">  </w:t>
      </w:r>
      <w:r w:rsidR="00945FF8">
        <w:t xml:space="preserve"> </w:t>
      </w:r>
    </w:p>
    <w:p w14:paraId="3DDAE0D9" w14:textId="77777777" w:rsidR="00E33D52" w:rsidRDefault="00E33D52">
      <w:pPr>
        <w:spacing w:line="240" w:lineRule="auto"/>
        <w:rPr>
          <w:rFonts w:ascii="Verdana" w:hAnsi="Verdana"/>
          <w:b/>
        </w:rPr>
      </w:pPr>
      <w:r>
        <w:br w:type="page"/>
      </w:r>
    </w:p>
    <w:p w14:paraId="2BD5286E" w14:textId="5C9AE89E" w:rsidR="00F813E3" w:rsidRDefault="006C396F" w:rsidP="008A728D">
      <w:pPr>
        <w:pStyle w:val="Rubrik3"/>
      </w:pPr>
      <w:bookmarkStart w:id="14" w:name="_Toc93561714"/>
      <w:r>
        <w:lastRenderedPageBreak/>
        <w:t xml:space="preserve">Prioriterade åtgärder </w:t>
      </w:r>
      <w:r w:rsidR="00E170DF">
        <w:t>på nationell nivå</w:t>
      </w:r>
      <w:bookmarkEnd w:id="14"/>
    </w:p>
    <w:tbl>
      <w:tblPr>
        <w:tblStyle w:val="Tabellrutnt"/>
        <w:tblW w:w="0" w:type="auto"/>
        <w:tblLook w:val="04A0" w:firstRow="1" w:lastRow="0" w:firstColumn="1" w:lastColumn="0" w:noHBand="0" w:noVBand="1"/>
      </w:tblPr>
      <w:tblGrid>
        <w:gridCol w:w="5222"/>
        <w:gridCol w:w="2138"/>
      </w:tblGrid>
      <w:tr w:rsidR="00162476" w14:paraId="2F30B658" w14:textId="77777777" w:rsidTr="008A728D">
        <w:tc>
          <w:tcPr>
            <w:tcW w:w="7360" w:type="dxa"/>
            <w:gridSpan w:val="2"/>
            <w:tcBorders>
              <w:top w:val="nil"/>
              <w:left w:val="nil"/>
              <w:bottom w:val="nil"/>
              <w:right w:val="nil"/>
            </w:tcBorders>
            <w:shd w:val="clear" w:color="auto" w:fill="E67C5E"/>
          </w:tcPr>
          <w:p w14:paraId="0A56636B" w14:textId="73101995" w:rsidR="00162476" w:rsidRPr="008A728D" w:rsidRDefault="003411FA" w:rsidP="007B3FF4">
            <w:pPr>
              <w:pStyle w:val="Brdtext"/>
              <w:numPr>
                <w:ilvl w:val="0"/>
                <w:numId w:val="54"/>
              </w:numPr>
              <w:rPr>
                <w:rFonts w:asciiTheme="minorHAnsi" w:hAnsiTheme="minorHAnsi" w:cstheme="minorHAnsi"/>
                <w:b/>
                <w:bCs/>
              </w:rPr>
            </w:pPr>
            <w:r w:rsidRPr="008A728D">
              <w:rPr>
                <w:rFonts w:asciiTheme="minorHAnsi" w:hAnsiTheme="minorHAnsi" w:cstheme="minorHAnsi"/>
                <w:b/>
                <w:bCs/>
              </w:rPr>
              <w:t>Samordnat stöd</w:t>
            </w:r>
            <w:r w:rsidR="007B3FF4">
              <w:rPr>
                <w:rFonts w:asciiTheme="minorHAnsi" w:hAnsiTheme="minorHAnsi" w:cstheme="minorHAnsi"/>
                <w:b/>
                <w:bCs/>
              </w:rPr>
              <w:t xml:space="preserve"> vid händelser</w:t>
            </w:r>
            <w:r w:rsidR="004B1E56">
              <w:rPr>
                <w:rStyle w:val="Fotnotsreferens"/>
                <w:rFonts w:asciiTheme="minorHAnsi" w:hAnsiTheme="minorHAnsi" w:cstheme="minorHAnsi"/>
                <w:b/>
                <w:bCs/>
              </w:rPr>
              <w:footnoteReference w:id="17"/>
            </w:r>
          </w:p>
        </w:tc>
      </w:tr>
      <w:tr w:rsidR="00162476" w14:paraId="1EE19E62" w14:textId="77777777" w:rsidTr="008A3ECA">
        <w:tc>
          <w:tcPr>
            <w:tcW w:w="7360" w:type="dxa"/>
            <w:gridSpan w:val="2"/>
            <w:tcBorders>
              <w:top w:val="nil"/>
              <w:left w:val="nil"/>
              <w:bottom w:val="nil"/>
              <w:right w:val="nil"/>
            </w:tcBorders>
            <w:shd w:val="clear" w:color="auto" w:fill="auto"/>
          </w:tcPr>
          <w:p w14:paraId="4F71383B" w14:textId="5A4FBBEF" w:rsidR="00601134" w:rsidRDefault="003411FA" w:rsidP="003411FA">
            <w:pPr>
              <w:rPr>
                <w:rFonts w:ascii="Calibri" w:hAnsi="Calibri" w:cs="Calibri"/>
                <w:color w:val="000000"/>
                <w:sz w:val="22"/>
                <w:szCs w:val="22"/>
              </w:rPr>
            </w:pPr>
            <w:r>
              <w:rPr>
                <w:rFonts w:ascii="Calibri" w:hAnsi="Calibri" w:cs="Calibri"/>
                <w:color w:val="000000"/>
                <w:sz w:val="22"/>
                <w:szCs w:val="22"/>
              </w:rPr>
              <w:t>NSO initierar vidareutveckling och samordning av myndigheter</w:t>
            </w:r>
            <w:r w:rsidR="007B3FF4">
              <w:rPr>
                <w:rFonts w:ascii="Calibri" w:hAnsi="Calibri" w:cs="Calibri"/>
                <w:color w:val="000000"/>
                <w:sz w:val="22"/>
                <w:szCs w:val="22"/>
              </w:rPr>
              <w:t>na</w:t>
            </w:r>
            <w:r>
              <w:rPr>
                <w:rFonts w:ascii="Calibri" w:hAnsi="Calibri" w:cs="Calibri"/>
                <w:color w:val="000000"/>
                <w:sz w:val="22"/>
                <w:szCs w:val="22"/>
              </w:rPr>
              <w:t>s stöd för hantering av oljeutsläpp till sjöss. Stödet ska vara känt, tillgängligt och lätt att rekvirera</w:t>
            </w:r>
            <w:r w:rsidR="008A728D">
              <w:rPr>
                <w:rFonts w:ascii="Calibri" w:hAnsi="Calibri" w:cs="Calibri"/>
                <w:color w:val="000000"/>
                <w:sz w:val="22"/>
                <w:szCs w:val="22"/>
              </w:rPr>
              <w:t xml:space="preserve"> vid en händelse,</w:t>
            </w:r>
            <w:r>
              <w:rPr>
                <w:rFonts w:ascii="Calibri" w:hAnsi="Calibri" w:cs="Calibri"/>
                <w:color w:val="000000"/>
                <w:sz w:val="22"/>
                <w:szCs w:val="22"/>
              </w:rPr>
              <w:t xml:space="preserve"> samt vara sammanhängande och behovsanpassat. </w:t>
            </w:r>
          </w:p>
          <w:p w14:paraId="278E1236" w14:textId="77777777" w:rsidR="00601134" w:rsidRDefault="00601134" w:rsidP="003411FA">
            <w:pPr>
              <w:rPr>
                <w:rFonts w:ascii="Calibri" w:hAnsi="Calibri" w:cs="Calibri"/>
                <w:color w:val="000000"/>
                <w:sz w:val="22"/>
                <w:szCs w:val="22"/>
              </w:rPr>
            </w:pPr>
          </w:p>
          <w:p w14:paraId="317E69D3" w14:textId="0B8F9C64" w:rsidR="00601134" w:rsidRDefault="00601134" w:rsidP="003411FA">
            <w:pPr>
              <w:rPr>
                <w:rFonts w:ascii="Calibri" w:hAnsi="Calibri" w:cs="Calibri"/>
                <w:color w:val="000000"/>
                <w:sz w:val="22"/>
                <w:szCs w:val="22"/>
              </w:rPr>
            </w:pPr>
            <w:r w:rsidRPr="00601134">
              <w:rPr>
                <w:rFonts w:ascii="Calibri" w:hAnsi="Calibri" w:cs="Calibri"/>
                <w:color w:val="000000"/>
                <w:sz w:val="22"/>
                <w:szCs w:val="22"/>
              </w:rPr>
              <w:t xml:space="preserve">Med stöd åsyftas </w:t>
            </w:r>
            <w:r w:rsidR="000F2FCC">
              <w:rPr>
                <w:rFonts w:ascii="Calibri" w:hAnsi="Calibri" w:cs="Calibri"/>
                <w:color w:val="000000"/>
                <w:sz w:val="22"/>
                <w:szCs w:val="22"/>
              </w:rPr>
              <w:t xml:space="preserve">exempelvis </w:t>
            </w:r>
            <w:r w:rsidRPr="00601134">
              <w:rPr>
                <w:rFonts w:ascii="Calibri" w:hAnsi="Calibri" w:cs="Calibri"/>
                <w:color w:val="000000"/>
                <w:sz w:val="22"/>
                <w:szCs w:val="22"/>
              </w:rPr>
              <w:t xml:space="preserve">expertstöd för oljeskadeskydd (f.d. oljejouren), Digital Miljöatlas, Seatrack Web, </w:t>
            </w:r>
            <w:proofErr w:type="spellStart"/>
            <w:r w:rsidR="000F2FCC" w:rsidRPr="00601134">
              <w:rPr>
                <w:rFonts w:ascii="Calibri" w:hAnsi="Calibri" w:cs="Calibri"/>
                <w:color w:val="000000"/>
                <w:sz w:val="22"/>
                <w:szCs w:val="22"/>
              </w:rPr>
              <w:t>MSB:s</w:t>
            </w:r>
            <w:proofErr w:type="spellEnd"/>
            <w:r w:rsidR="000F2FCC" w:rsidRPr="00601134">
              <w:rPr>
                <w:rFonts w:ascii="Calibri" w:hAnsi="Calibri" w:cs="Calibri"/>
                <w:color w:val="000000"/>
                <w:sz w:val="22"/>
                <w:szCs w:val="22"/>
              </w:rPr>
              <w:t xml:space="preserve"> förstärkningsresurser</w:t>
            </w:r>
            <w:r w:rsidR="000F2FCC">
              <w:rPr>
                <w:rFonts w:ascii="Calibri" w:hAnsi="Calibri" w:cs="Calibri"/>
                <w:color w:val="000000"/>
                <w:sz w:val="22"/>
                <w:szCs w:val="22"/>
              </w:rPr>
              <w:t xml:space="preserve">, </w:t>
            </w:r>
            <w:r w:rsidRPr="00601134">
              <w:rPr>
                <w:rFonts w:ascii="Calibri" w:hAnsi="Calibri" w:cs="Calibri"/>
                <w:color w:val="000000"/>
                <w:sz w:val="22"/>
                <w:szCs w:val="22"/>
              </w:rPr>
              <w:t>Sanerin</w:t>
            </w:r>
            <w:r w:rsidR="000F2FCC">
              <w:rPr>
                <w:rFonts w:ascii="Calibri" w:hAnsi="Calibri" w:cs="Calibri"/>
                <w:color w:val="000000"/>
                <w:sz w:val="22"/>
                <w:szCs w:val="22"/>
              </w:rPr>
              <w:t>gsmanualen, ”</w:t>
            </w:r>
            <w:proofErr w:type="spellStart"/>
            <w:r w:rsidR="000F2FCC">
              <w:rPr>
                <w:rFonts w:ascii="Calibri" w:hAnsi="Calibri" w:cs="Calibri"/>
                <w:color w:val="000000"/>
                <w:sz w:val="22"/>
                <w:szCs w:val="22"/>
              </w:rPr>
              <w:t>MSB:s</w:t>
            </w:r>
            <w:proofErr w:type="spellEnd"/>
            <w:r w:rsidR="000F2FCC">
              <w:rPr>
                <w:rFonts w:ascii="Calibri" w:hAnsi="Calibri" w:cs="Calibri"/>
                <w:color w:val="000000"/>
                <w:sz w:val="22"/>
                <w:szCs w:val="22"/>
              </w:rPr>
              <w:t xml:space="preserve"> kommunpärm”. </w:t>
            </w:r>
          </w:p>
          <w:p w14:paraId="0C3DBE35" w14:textId="0A086265" w:rsidR="00724914" w:rsidRDefault="00F67B52" w:rsidP="008A728D">
            <w:pPr>
              <w:rPr>
                <w:rFonts w:ascii="Calibri" w:hAnsi="Calibri" w:cs="Calibri"/>
                <w:color w:val="000000"/>
                <w:sz w:val="22"/>
                <w:szCs w:val="22"/>
              </w:rPr>
            </w:pPr>
            <w:r>
              <w:rPr>
                <w:rFonts w:ascii="Calibri" w:hAnsi="Calibri" w:cs="Calibri"/>
                <w:color w:val="000000"/>
                <w:sz w:val="22"/>
                <w:szCs w:val="22"/>
              </w:rPr>
              <w:br/>
            </w:r>
            <w:r w:rsidR="003411FA">
              <w:rPr>
                <w:rFonts w:ascii="Calibri" w:hAnsi="Calibri" w:cs="Calibri"/>
                <w:color w:val="000000"/>
                <w:sz w:val="22"/>
                <w:szCs w:val="22"/>
              </w:rPr>
              <w:t>Primära användare av stödet är kommuner och länsstyrelser</w:t>
            </w:r>
            <w:r w:rsidR="00752D0A">
              <w:rPr>
                <w:rFonts w:ascii="Calibri" w:hAnsi="Calibri" w:cs="Calibri"/>
                <w:color w:val="000000"/>
                <w:sz w:val="22"/>
                <w:szCs w:val="22"/>
              </w:rPr>
              <w:t>,</w:t>
            </w:r>
            <w:r w:rsidR="003411FA">
              <w:rPr>
                <w:rFonts w:ascii="Calibri" w:hAnsi="Calibri" w:cs="Calibri"/>
                <w:color w:val="000000"/>
                <w:sz w:val="22"/>
                <w:szCs w:val="22"/>
              </w:rPr>
              <w:t xml:space="preserve"> men även andra aktörer och myndigheter. </w:t>
            </w:r>
          </w:p>
          <w:p w14:paraId="7AD029D4" w14:textId="01B15CB2" w:rsidR="000F2FCC" w:rsidRPr="008A728D" w:rsidRDefault="000F2FCC" w:rsidP="008A728D">
            <w:pPr>
              <w:rPr>
                <w:rFonts w:ascii="Calibri" w:eastAsiaTheme="minorHAnsi" w:hAnsi="Calibri" w:cs="Calibri"/>
                <w:i/>
                <w:iCs/>
                <w:color w:val="000000"/>
                <w:sz w:val="16"/>
                <w:szCs w:val="16"/>
              </w:rPr>
            </w:pPr>
          </w:p>
        </w:tc>
      </w:tr>
      <w:tr w:rsidR="000F2FCC" w14:paraId="31143252" w14:textId="2D44E873" w:rsidTr="000F2FCC">
        <w:trPr>
          <w:trHeight w:val="278"/>
        </w:trPr>
        <w:tc>
          <w:tcPr>
            <w:tcW w:w="5222" w:type="dxa"/>
            <w:tcBorders>
              <w:top w:val="nil"/>
              <w:left w:val="nil"/>
              <w:bottom w:val="single" w:sz="4" w:space="0" w:color="auto"/>
              <w:right w:val="single" w:sz="4" w:space="0" w:color="auto"/>
            </w:tcBorders>
            <w:shd w:val="clear" w:color="auto" w:fill="F2DBDB" w:themeFill="accent2" w:themeFillTint="33"/>
          </w:tcPr>
          <w:p w14:paraId="0EE6388D" w14:textId="2CC65A15" w:rsidR="000F2FCC" w:rsidRPr="000F2FCC" w:rsidRDefault="000F2FCC" w:rsidP="000F2FCC">
            <w:pPr>
              <w:pStyle w:val="Brdtext"/>
              <w:rPr>
                <w:rFonts w:asciiTheme="minorHAnsi" w:hAnsiTheme="minorHAnsi" w:cstheme="minorHAnsi"/>
                <w:b/>
                <w:bCs/>
              </w:rPr>
            </w:pPr>
            <w:r w:rsidRPr="000F2FCC">
              <w:rPr>
                <w:rFonts w:asciiTheme="minorHAnsi" w:hAnsiTheme="minorHAnsi" w:cstheme="minorHAnsi"/>
                <w:b/>
                <w:bCs/>
              </w:rPr>
              <w:t>Mätetal</w:t>
            </w:r>
          </w:p>
        </w:tc>
        <w:tc>
          <w:tcPr>
            <w:tcW w:w="2138" w:type="dxa"/>
            <w:tcBorders>
              <w:top w:val="nil"/>
              <w:left w:val="single" w:sz="4" w:space="0" w:color="auto"/>
              <w:bottom w:val="single" w:sz="4" w:space="0" w:color="auto"/>
              <w:right w:val="nil"/>
            </w:tcBorders>
            <w:shd w:val="clear" w:color="auto" w:fill="F2DBDB" w:themeFill="accent2" w:themeFillTint="33"/>
          </w:tcPr>
          <w:p w14:paraId="47964E8E" w14:textId="42185A86" w:rsidR="000F2FCC" w:rsidRPr="000F2FCC" w:rsidRDefault="000F2FCC" w:rsidP="00217922">
            <w:pPr>
              <w:pStyle w:val="Brdtext"/>
              <w:rPr>
                <w:rFonts w:asciiTheme="minorHAnsi" w:hAnsiTheme="minorHAnsi" w:cstheme="minorHAnsi"/>
                <w:b/>
                <w:bCs/>
              </w:rPr>
            </w:pPr>
            <w:r w:rsidRPr="000F2FCC">
              <w:rPr>
                <w:rFonts w:asciiTheme="minorHAnsi" w:hAnsiTheme="minorHAnsi" w:cstheme="minorHAnsi"/>
                <w:b/>
                <w:bCs/>
              </w:rPr>
              <w:t>Uppföljning</w:t>
            </w:r>
            <w:r w:rsidR="00217922">
              <w:rPr>
                <w:rFonts w:asciiTheme="minorHAnsi" w:hAnsiTheme="minorHAnsi" w:cstheme="minorHAnsi"/>
                <w:b/>
                <w:bCs/>
              </w:rPr>
              <w:t xml:space="preserve">smetod </w:t>
            </w:r>
            <w:r w:rsidRPr="000F2FCC">
              <w:rPr>
                <w:rFonts w:asciiTheme="minorHAnsi" w:hAnsiTheme="minorHAnsi" w:cstheme="minorHAnsi"/>
                <w:b/>
                <w:bCs/>
              </w:rPr>
              <w:t xml:space="preserve"> </w:t>
            </w:r>
          </w:p>
        </w:tc>
      </w:tr>
      <w:tr w:rsidR="000F2FCC" w14:paraId="588C83DD" w14:textId="77777777" w:rsidTr="008A3ECA">
        <w:trPr>
          <w:trHeight w:val="1130"/>
        </w:trPr>
        <w:tc>
          <w:tcPr>
            <w:tcW w:w="5222" w:type="dxa"/>
            <w:tcBorders>
              <w:top w:val="single" w:sz="4" w:space="0" w:color="auto"/>
              <w:left w:val="nil"/>
              <w:bottom w:val="single" w:sz="4" w:space="0" w:color="auto"/>
              <w:right w:val="single" w:sz="4" w:space="0" w:color="auto"/>
            </w:tcBorders>
            <w:shd w:val="clear" w:color="auto" w:fill="auto"/>
          </w:tcPr>
          <w:p w14:paraId="2E487876" w14:textId="3C1153C8" w:rsidR="000F2FCC" w:rsidRPr="000F2FCC" w:rsidRDefault="000F2FCC" w:rsidP="000F2FCC">
            <w:pPr>
              <w:rPr>
                <w:rFonts w:ascii="Calibri" w:hAnsi="Calibri" w:cs="Calibri"/>
                <w:b/>
                <w:bCs/>
                <w:color w:val="000000"/>
              </w:rPr>
            </w:pPr>
            <w:r w:rsidRPr="000F2FCC">
              <w:rPr>
                <w:rFonts w:ascii="Calibri" w:hAnsi="Calibri" w:cs="Calibri"/>
                <w:color w:val="000000"/>
              </w:rPr>
              <w:t xml:space="preserve">Berörda aktörer vet var stödet finns att hämta och vilka resurser som finns att tillgå. </w:t>
            </w:r>
          </w:p>
        </w:tc>
        <w:tc>
          <w:tcPr>
            <w:tcW w:w="2138" w:type="dxa"/>
            <w:tcBorders>
              <w:top w:val="single" w:sz="4" w:space="0" w:color="auto"/>
              <w:left w:val="single" w:sz="4" w:space="0" w:color="auto"/>
              <w:bottom w:val="single" w:sz="4" w:space="0" w:color="auto"/>
              <w:right w:val="nil"/>
            </w:tcBorders>
            <w:shd w:val="clear" w:color="auto" w:fill="auto"/>
          </w:tcPr>
          <w:p w14:paraId="2D42037C" w14:textId="45221CBE" w:rsidR="000F2FCC" w:rsidRPr="000F2FCC" w:rsidRDefault="000F2FCC" w:rsidP="000F2FCC">
            <w:pPr>
              <w:rPr>
                <w:rFonts w:ascii="Calibri" w:eastAsiaTheme="minorHAnsi" w:hAnsi="Calibri" w:cs="Calibri"/>
                <w:color w:val="000000"/>
              </w:rPr>
            </w:pPr>
            <w:r>
              <w:rPr>
                <w:rFonts w:ascii="Calibri" w:hAnsi="Calibri" w:cs="Calibri"/>
                <w:color w:val="000000"/>
              </w:rPr>
              <w:t xml:space="preserve">Kartläggning av förmågan - </w:t>
            </w:r>
            <w:r w:rsidRPr="000F2FCC">
              <w:rPr>
                <w:rFonts w:ascii="Calibri" w:hAnsi="Calibri" w:cs="Calibri"/>
                <w:color w:val="000000"/>
              </w:rPr>
              <w:t>Sveriges oljeskyddsberedskap</w:t>
            </w:r>
          </w:p>
        </w:tc>
      </w:tr>
      <w:tr w:rsidR="000F2FCC" w14:paraId="0A2EDE90" w14:textId="77777777" w:rsidTr="008A3ECA">
        <w:trPr>
          <w:trHeight w:val="510"/>
        </w:trPr>
        <w:tc>
          <w:tcPr>
            <w:tcW w:w="5222" w:type="dxa"/>
            <w:tcBorders>
              <w:top w:val="single" w:sz="4" w:space="0" w:color="auto"/>
              <w:left w:val="nil"/>
              <w:bottom w:val="single" w:sz="4" w:space="0" w:color="auto"/>
              <w:right w:val="single" w:sz="4" w:space="0" w:color="auto"/>
            </w:tcBorders>
            <w:shd w:val="clear" w:color="auto" w:fill="auto"/>
          </w:tcPr>
          <w:p w14:paraId="28A67FFA" w14:textId="6B761C6B" w:rsidR="000F2FCC" w:rsidRPr="000F2FCC" w:rsidRDefault="000F2FCC" w:rsidP="000F2FCC">
            <w:pPr>
              <w:rPr>
                <w:rFonts w:ascii="Calibri" w:hAnsi="Calibri" w:cs="Calibri"/>
                <w:b/>
                <w:bCs/>
                <w:color w:val="000000"/>
              </w:rPr>
            </w:pPr>
            <w:r w:rsidRPr="000F2FCC">
              <w:rPr>
                <w:rFonts w:ascii="Calibri" w:hAnsi="Calibri" w:cs="Calibri"/>
                <w:color w:val="000000"/>
              </w:rPr>
              <w:t xml:space="preserve">Befintligt stöd förvaltas och vidareutvecklas efter behov. </w:t>
            </w:r>
          </w:p>
        </w:tc>
        <w:tc>
          <w:tcPr>
            <w:tcW w:w="2138" w:type="dxa"/>
            <w:tcBorders>
              <w:top w:val="single" w:sz="4" w:space="0" w:color="auto"/>
              <w:left w:val="single" w:sz="4" w:space="0" w:color="auto"/>
              <w:bottom w:val="single" w:sz="4" w:space="0" w:color="auto"/>
              <w:right w:val="nil"/>
            </w:tcBorders>
            <w:shd w:val="clear" w:color="auto" w:fill="auto"/>
          </w:tcPr>
          <w:p w14:paraId="168868F3" w14:textId="73A5E0C6" w:rsidR="000F2FCC" w:rsidRPr="000F2FCC" w:rsidRDefault="000F2FCC" w:rsidP="000F2FCC">
            <w:pPr>
              <w:rPr>
                <w:rFonts w:ascii="Calibri" w:eastAsiaTheme="minorHAnsi" w:hAnsi="Calibri" w:cs="Calibri"/>
                <w:color w:val="000000"/>
              </w:rPr>
            </w:pPr>
            <w:r>
              <w:rPr>
                <w:rFonts w:ascii="Calibri" w:hAnsi="Calibri" w:cs="Calibri"/>
                <w:color w:val="000000"/>
              </w:rPr>
              <w:t>NSO</w:t>
            </w:r>
            <w:r w:rsidR="00217922">
              <w:rPr>
                <w:rFonts w:ascii="Calibri" w:hAnsi="Calibri" w:cs="Calibri"/>
                <w:color w:val="000000"/>
              </w:rPr>
              <w:t xml:space="preserve"> följer upp och initierar åtgärder efter behov </w:t>
            </w:r>
          </w:p>
        </w:tc>
      </w:tr>
      <w:tr w:rsidR="000F2FCC" w14:paraId="1F3614F3" w14:textId="77777777" w:rsidTr="008A3ECA">
        <w:trPr>
          <w:trHeight w:val="611"/>
        </w:trPr>
        <w:tc>
          <w:tcPr>
            <w:tcW w:w="5222" w:type="dxa"/>
            <w:tcBorders>
              <w:top w:val="single" w:sz="4" w:space="0" w:color="auto"/>
              <w:left w:val="nil"/>
              <w:bottom w:val="single" w:sz="4" w:space="0" w:color="auto"/>
              <w:right w:val="single" w:sz="4" w:space="0" w:color="auto"/>
            </w:tcBorders>
            <w:shd w:val="clear" w:color="auto" w:fill="auto"/>
          </w:tcPr>
          <w:p w14:paraId="0A4E6358" w14:textId="1F4291CC" w:rsidR="000F2FCC" w:rsidRPr="000F2FCC" w:rsidRDefault="000F2FCC" w:rsidP="000F2FCC">
            <w:pPr>
              <w:rPr>
                <w:rFonts w:ascii="Calibri" w:hAnsi="Calibri" w:cs="Calibri"/>
                <w:color w:val="000000"/>
              </w:rPr>
            </w:pPr>
            <w:r w:rsidRPr="000F2FCC">
              <w:rPr>
                <w:rFonts w:ascii="Calibri" w:hAnsi="Calibri" w:cs="Calibri"/>
                <w:color w:val="000000"/>
              </w:rPr>
              <w:t xml:space="preserve">Internationellt stöd integreras i det centrala stödet t.ex. </w:t>
            </w:r>
            <w:proofErr w:type="spellStart"/>
            <w:r w:rsidRPr="000F2FCC">
              <w:rPr>
                <w:rFonts w:ascii="Calibri" w:hAnsi="Calibri" w:cs="Calibri"/>
                <w:color w:val="000000"/>
              </w:rPr>
              <w:t>HELCOM:s</w:t>
            </w:r>
            <w:proofErr w:type="spellEnd"/>
            <w:r w:rsidRPr="000F2FCC">
              <w:rPr>
                <w:rFonts w:ascii="Calibri" w:hAnsi="Calibri" w:cs="Calibri"/>
                <w:color w:val="000000"/>
              </w:rPr>
              <w:t xml:space="preserve"> bekämpningsmanual.</w:t>
            </w:r>
            <w:r w:rsidR="00FE4556">
              <w:rPr>
                <w:rFonts w:ascii="Calibri" w:hAnsi="Calibri" w:cs="Calibri"/>
                <w:color w:val="000000"/>
              </w:rPr>
              <w:t xml:space="preserve"> </w:t>
            </w:r>
          </w:p>
        </w:tc>
        <w:tc>
          <w:tcPr>
            <w:tcW w:w="2138" w:type="dxa"/>
            <w:tcBorders>
              <w:top w:val="single" w:sz="4" w:space="0" w:color="auto"/>
              <w:left w:val="single" w:sz="4" w:space="0" w:color="auto"/>
              <w:bottom w:val="single" w:sz="4" w:space="0" w:color="auto"/>
              <w:right w:val="nil"/>
            </w:tcBorders>
            <w:shd w:val="clear" w:color="auto" w:fill="auto"/>
          </w:tcPr>
          <w:p w14:paraId="7C45DCD7" w14:textId="3585F093" w:rsidR="000F2FCC" w:rsidRPr="000F2FCC" w:rsidRDefault="00217922" w:rsidP="000F2FCC">
            <w:pPr>
              <w:rPr>
                <w:rFonts w:ascii="Calibri" w:eastAsiaTheme="minorHAnsi" w:hAnsi="Calibri" w:cs="Calibri"/>
                <w:color w:val="000000"/>
              </w:rPr>
            </w:pPr>
            <w:r>
              <w:rPr>
                <w:rFonts w:ascii="Calibri" w:hAnsi="Calibri" w:cs="Calibri"/>
                <w:color w:val="000000"/>
              </w:rPr>
              <w:t>NSO följer upp och initierar åtgärder efter behov</w:t>
            </w:r>
          </w:p>
        </w:tc>
      </w:tr>
      <w:tr w:rsidR="000F2FCC" w14:paraId="69E550D0" w14:textId="77777777" w:rsidTr="008A3ECA">
        <w:trPr>
          <w:trHeight w:val="649"/>
        </w:trPr>
        <w:tc>
          <w:tcPr>
            <w:tcW w:w="5222" w:type="dxa"/>
            <w:tcBorders>
              <w:top w:val="single" w:sz="4" w:space="0" w:color="auto"/>
              <w:left w:val="nil"/>
              <w:bottom w:val="nil"/>
              <w:right w:val="single" w:sz="4" w:space="0" w:color="auto"/>
            </w:tcBorders>
            <w:shd w:val="clear" w:color="auto" w:fill="auto"/>
          </w:tcPr>
          <w:p w14:paraId="4DFA035A" w14:textId="3A8A760D" w:rsidR="000F2FCC" w:rsidRPr="000F2FCC" w:rsidRDefault="000F2FCC" w:rsidP="000F2FCC">
            <w:pPr>
              <w:rPr>
                <w:rFonts w:ascii="Calibri" w:hAnsi="Calibri" w:cs="Calibri"/>
                <w:color w:val="000000"/>
              </w:rPr>
            </w:pPr>
            <w:r w:rsidRPr="000F2FCC">
              <w:rPr>
                <w:rFonts w:ascii="Calibri" w:hAnsi="Calibri" w:cs="Calibri"/>
                <w:color w:val="000000"/>
              </w:rPr>
              <w:t xml:space="preserve">Stödet är behovsanpassat både ur ett användarperspektiv och utifrån aktuell riskbild. </w:t>
            </w:r>
          </w:p>
        </w:tc>
        <w:tc>
          <w:tcPr>
            <w:tcW w:w="2138" w:type="dxa"/>
            <w:tcBorders>
              <w:top w:val="single" w:sz="4" w:space="0" w:color="auto"/>
              <w:left w:val="single" w:sz="4" w:space="0" w:color="auto"/>
              <w:bottom w:val="nil"/>
              <w:right w:val="nil"/>
            </w:tcBorders>
            <w:shd w:val="clear" w:color="auto" w:fill="auto"/>
          </w:tcPr>
          <w:p w14:paraId="0B5F8105" w14:textId="406FE148" w:rsidR="000F2FCC" w:rsidRPr="000F2FCC" w:rsidRDefault="00217922" w:rsidP="000F2FCC">
            <w:pPr>
              <w:rPr>
                <w:rFonts w:ascii="Calibri" w:hAnsi="Calibri" w:cs="Calibri"/>
                <w:color w:val="000000"/>
              </w:rPr>
            </w:pPr>
            <w:r>
              <w:rPr>
                <w:rFonts w:ascii="Calibri" w:hAnsi="Calibri" w:cs="Calibri"/>
                <w:color w:val="000000"/>
              </w:rPr>
              <w:t>NSO följer upp och initierar åtgärder efter behov</w:t>
            </w:r>
          </w:p>
        </w:tc>
      </w:tr>
    </w:tbl>
    <w:p w14:paraId="6D33D739" w14:textId="14130B0B" w:rsidR="00E33D52" w:rsidRDefault="00E33D52" w:rsidP="00F813E3">
      <w:pPr>
        <w:pStyle w:val="Brdtext"/>
      </w:pPr>
    </w:p>
    <w:p w14:paraId="399B6A61" w14:textId="77777777" w:rsidR="00E33D52" w:rsidRDefault="00E33D52">
      <w:pPr>
        <w:spacing w:line="240" w:lineRule="auto"/>
      </w:pPr>
      <w:r>
        <w:br w:type="page"/>
      </w:r>
    </w:p>
    <w:p w14:paraId="3F3CA1AC" w14:textId="77777777" w:rsidR="00F813E3" w:rsidRDefault="00F813E3" w:rsidP="00F813E3">
      <w:pPr>
        <w:pStyle w:val="Brdtext"/>
      </w:pPr>
    </w:p>
    <w:tbl>
      <w:tblPr>
        <w:tblStyle w:val="Tabellrutnt"/>
        <w:tblW w:w="0" w:type="auto"/>
        <w:tblLook w:val="04A0" w:firstRow="1" w:lastRow="0" w:firstColumn="1" w:lastColumn="0" w:noHBand="0" w:noVBand="1"/>
      </w:tblPr>
      <w:tblGrid>
        <w:gridCol w:w="5277"/>
        <w:gridCol w:w="2083"/>
      </w:tblGrid>
      <w:tr w:rsidR="008F284F" w:rsidRPr="004563DF" w14:paraId="3D556AD0" w14:textId="77777777" w:rsidTr="008A728D">
        <w:tc>
          <w:tcPr>
            <w:tcW w:w="7360" w:type="dxa"/>
            <w:gridSpan w:val="2"/>
            <w:tcBorders>
              <w:top w:val="nil"/>
              <w:left w:val="nil"/>
              <w:bottom w:val="nil"/>
              <w:right w:val="nil"/>
            </w:tcBorders>
            <w:shd w:val="clear" w:color="auto" w:fill="E67C5E"/>
          </w:tcPr>
          <w:p w14:paraId="23097836" w14:textId="3F493A86" w:rsidR="008F284F" w:rsidRPr="004563DF" w:rsidRDefault="008F284F" w:rsidP="008A728D">
            <w:pPr>
              <w:pStyle w:val="Brdtext"/>
              <w:numPr>
                <w:ilvl w:val="0"/>
                <w:numId w:val="54"/>
              </w:numPr>
              <w:rPr>
                <w:rFonts w:asciiTheme="minorHAnsi" w:hAnsiTheme="minorHAnsi" w:cstheme="minorHAnsi"/>
                <w:b/>
                <w:bCs/>
              </w:rPr>
            </w:pPr>
            <w:r w:rsidRPr="004563DF">
              <w:rPr>
                <w:rFonts w:asciiTheme="minorHAnsi" w:hAnsiTheme="minorHAnsi" w:cstheme="minorHAnsi"/>
                <w:b/>
                <w:bCs/>
              </w:rPr>
              <w:t>Digital Miljöatlas styr prioriteringarna</w:t>
            </w:r>
            <w:r w:rsidR="000F2FCC">
              <w:rPr>
                <w:rStyle w:val="Fotnotsreferens"/>
                <w:rFonts w:asciiTheme="minorHAnsi" w:hAnsiTheme="minorHAnsi" w:cstheme="minorHAnsi"/>
                <w:b/>
                <w:bCs/>
              </w:rPr>
              <w:footnoteReference w:id="18"/>
            </w:r>
          </w:p>
        </w:tc>
      </w:tr>
      <w:tr w:rsidR="008F284F" w:rsidRPr="004563DF" w14:paraId="1D302C64" w14:textId="77777777" w:rsidTr="008A3ECA">
        <w:tc>
          <w:tcPr>
            <w:tcW w:w="7360" w:type="dxa"/>
            <w:gridSpan w:val="2"/>
            <w:tcBorders>
              <w:top w:val="nil"/>
              <w:left w:val="nil"/>
              <w:bottom w:val="nil"/>
              <w:right w:val="nil"/>
            </w:tcBorders>
            <w:shd w:val="clear" w:color="auto" w:fill="auto"/>
          </w:tcPr>
          <w:p w14:paraId="6726EB6F" w14:textId="4A05F4DA" w:rsidR="00865660" w:rsidRDefault="00CA2A92" w:rsidP="00CA2A92">
            <w:pPr>
              <w:rPr>
                <w:rFonts w:ascii="Calibri" w:hAnsi="Calibri" w:cs="Calibri"/>
                <w:color w:val="000000"/>
                <w:sz w:val="22"/>
                <w:szCs w:val="22"/>
              </w:rPr>
            </w:pPr>
            <w:r>
              <w:rPr>
                <w:rFonts w:ascii="Calibri" w:hAnsi="Calibri" w:cs="Calibri"/>
                <w:color w:val="000000"/>
                <w:sz w:val="22"/>
                <w:szCs w:val="22"/>
              </w:rPr>
              <w:t xml:space="preserve">Både i </w:t>
            </w:r>
            <w:r w:rsidR="00865660">
              <w:rPr>
                <w:rFonts w:ascii="Calibri" w:hAnsi="Calibri" w:cs="Calibri"/>
                <w:color w:val="000000"/>
                <w:sz w:val="22"/>
                <w:szCs w:val="22"/>
              </w:rPr>
              <w:t xml:space="preserve">det </w:t>
            </w:r>
            <w:r>
              <w:rPr>
                <w:rFonts w:ascii="Calibri" w:hAnsi="Calibri" w:cs="Calibri"/>
                <w:color w:val="000000"/>
                <w:sz w:val="22"/>
                <w:szCs w:val="22"/>
              </w:rPr>
              <w:t xml:space="preserve">förberedande arbetet och vid en insats utgår </w:t>
            </w:r>
            <w:r w:rsidR="008F284F">
              <w:rPr>
                <w:rFonts w:ascii="Calibri" w:hAnsi="Calibri" w:cs="Calibri"/>
                <w:color w:val="000000"/>
                <w:sz w:val="22"/>
                <w:szCs w:val="22"/>
              </w:rPr>
              <w:t>arbete</w:t>
            </w:r>
            <w:r w:rsidR="00865660">
              <w:rPr>
                <w:rFonts w:ascii="Calibri" w:hAnsi="Calibri" w:cs="Calibri"/>
                <w:color w:val="000000"/>
                <w:sz w:val="22"/>
                <w:szCs w:val="22"/>
              </w:rPr>
              <w:t>t</w:t>
            </w:r>
            <w:r w:rsidR="008F284F">
              <w:rPr>
                <w:rFonts w:ascii="Calibri" w:hAnsi="Calibri" w:cs="Calibri"/>
                <w:color w:val="000000"/>
                <w:sz w:val="22"/>
                <w:szCs w:val="22"/>
              </w:rPr>
              <w:t xml:space="preserve"> från</w:t>
            </w:r>
            <w:r>
              <w:rPr>
                <w:rFonts w:ascii="Calibri" w:hAnsi="Calibri" w:cs="Calibri"/>
                <w:color w:val="000000"/>
                <w:sz w:val="22"/>
                <w:szCs w:val="22"/>
              </w:rPr>
              <w:t xml:space="preserve"> att skydda</w:t>
            </w:r>
            <w:r w:rsidR="008F284F">
              <w:rPr>
                <w:rFonts w:ascii="Calibri" w:hAnsi="Calibri" w:cs="Calibri"/>
                <w:color w:val="000000"/>
                <w:sz w:val="22"/>
                <w:szCs w:val="22"/>
              </w:rPr>
              <w:t xml:space="preserve"> </w:t>
            </w:r>
            <w:r>
              <w:rPr>
                <w:rFonts w:ascii="Calibri" w:hAnsi="Calibri" w:cs="Calibri"/>
                <w:color w:val="000000"/>
                <w:sz w:val="22"/>
                <w:szCs w:val="22"/>
              </w:rPr>
              <w:t xml:space="preserve">de prioriterade kustområdena </w:t>
            </w:r>
            <w:r w:rsidR="00865660">
              <w:rPr>
                <w:rFonts w:ascii="Calibri" w:hAnsi="Calibri" w:cs="Calibri"/>
                <w:color w:val="000000"/>
                <w:sz w:val="22"/>
                <w:szCs w:val="22"/>
              </w:rPr>
              <w:t xml:space="preserve">mot skadliga föroreningar från olyckor till sjöss. Lokala, regionala och nationella skyddsvärda områden är dokumenterade </w:t>
            </w:r>
            <w:r w:rsidR="008F284F">
              <w:rPr>
                <w:rFonts w:ascii="Calibri" w:hAnsi="Calibri" w:cs="Calibri"/>
                <w:color w:val="000000"/>
                <w:sz w:val="22"/>
                <w:szCs w:val="22"/>
              </w:rPr>
              <w:t>i Digital Miljöatlas</w:t>
            </w:r>
            <w:r w:rsidR="001D1BE2">
              <w:rPr>
                <w:rFonts w:ascii="Calibri" w:hAnsi="Calibri" w:cs="Calibri"/>
                <w:color w:val="000000"/>
                <w:sz w:val="22"/>
                <w:szCs w:val="22"/>
              </w:rPr>
              <w:t xml:space="preserve"> och utgör grund för aktörernas arbete på alla nivåer</w:t>
            </w:r>
            <w:r>
              <w:rPr>
                <w:rFonts w:ascii="Calibri" w:hAnsi="Calibri" w:cs="Calibri"/>
                <w:color w:val="000000"/>
                <w:sz w:val="22"/>
                <w:szCs w:val="22"/>
              </w:rPr>
              <w:t xml:space="preserve">. </w:t>
            </w:r>
          </w:p>
          <w:p w14:paraId="5C8C374F" w14:textId="77777777" w:rsidR="00454882" w:rsidRDefault="00454882" w:rsidP="00CA2A92">
            <w:pPr>
              <w:rPr>
                <w:rFonts w:ascii="Calibri" w:hAnsi="Calibri" w:cs="Calibri"/>
                <w:color w:val="000000"/>
                <w:sz w:val="22"/>
                <w:szCs w:val="22"/>
              </w:rPr>
            </w:pPr>
          </w:p>
          <w:p w14:paraId="464506C4" w14:textId="12047544" w:rsidR="00CA2A92" w:rsidRDefault="00CA2A92" w:rsidP="00CA2A92">
            <w:pPr>
              <w:rPr>
                <w:rFonts w:ascii="Calibri" w:hAnsi="Calibri" w:cs="Calibri"/>
                <w:color w:val="000000"/>
                <w:sz w:val="22"/>
                <w:szCs w:val="22"/>
              </w:rPr>
            </w:pPr>
            <w:r>
              <w:rPr>
                <w:rFonts w:ascii="Calibri" w:hAnsi="Calibri" w:cs="Calibri"/>
                <w:color w:val="000000"/>
                <w:sz w:val="22"/>
                <w:szCs w:val="22"/>
              </w:rPr>
              <w:t xml:space="preserve">I ett förberedande skede kan det innebära att resurser allokeras med hänsyn till skyddsvärden enligt Digital Miljöatlas och att aktörer </w:t>
            </w:r>
            <w:r w:rsidR="00865660">
              <w:rPr>
                <w:rFonts w:ascii="Calibri" w:hAnsi="Calibri" w:cs="Calibri"/>
                <w:color w:val="000000"/>
                <w:sz w:val="22"/>
                <w:szCs w:val="22"/>
              </w:rPr>
              <w:t xml:space="preserve">med </w:t>
            </w:r>
            <w:r>
              <w:rPr>
                <w:rFonts w:ascii="Calibri" w:hAnsi="Calibri" w:cs="Calibri"/>
                <w:color w:val="000000"/>
                <w:sz w:val="22"/>
                <w:szCs w:val="22"/>
              </w:rPr>
              <w:t xml:space="preserve">geografiskt områdesansvar säkerställer att förmågan är proportionerlig i förhållande till de skyddsvärden som identifierats. </w:t>
            </w:r>
          </w:p>
          <w:p w14:paraId="4D5C4B31" w14:textId="77777777" w:rsidR="00454882" w:rsidRDefault="00454882" w:rsidP="00CA2A92">
            <w:pPr>
              <w:rPr>
                <w:rFonts w:ascii="Calibri" w:hAnsi="Calibri" w:cs="Calibri"/>
                <w:color w:val="000000"/>
                <w:sz w:val="22"/>
                <w:szCs w:val="22"/>
              </w:rPr>
            </w:pPr>
          </w:p>
          <w:p w14:paraId="00DD5A60" w14:textId="7107A545" w:rsidR="00454882" w:rsidRDefault="00865660" w:rsidP="00CA2A92">
            <w:pPr>
              <w:rPr>
                <w:rFonts w:ascii="Calibri" w:hAnsi="Calibri" w:cs="Calibri"/>
                <w:color w:val="000000"/>
                <w:sz w:val="22"/>
                <w:szCs w:val="22"/>
              </w:rPr>
            </w:pPr>
            <w:r>
              <w:rPr>
                <w:rFonts w:ascii="Calibri" w:hAnsi="Calibri" w:cs="Calibri"/>
                <w:color w:val="000000"/>
                <w:sz w:val="22"/>
                <w:szCs w:val="22"/>
              </w:rPr>
              <w:t xml:space="preserve">I ett operativt skede kan det innebära att insatsens mål fastställs utifrån de </w:t>
            </w:r>
          </w:p>
          <w:p w14:paraId="24152512" w14:textId="41E49470" w:rsidR="008F284F" w:rsidRDefault="00865660" w:rsidP="00454882">
            <w:pPr>
              <w:rPr>
                <w:rFonts w:ascii="Calibri" w:hAnsi="Calibri" w:cs="Calibri"/>
                <w:color w:val="000000"/>
                <w:sz w:val="22"/>
                <w:szCs w:val="22"/>
              </w:rPr>
            </w:pPr>
            <w:r>
              <w:rPr>
                <w:rFonts w:ascii="Calibri" w:hAnsi="Calibri" w:cs="Calibri"/>
                <w:color w:val="000000"/>
                <w:sz w:val="22"/>
                <w:szCs w:val="22"/>
              </w:rPr>
              <w:t>skyddsvärda områdena</w:t>
            </w:r>
            <w:r w:rsidR="00454882">
              <w:rPr>
                <w:rFonts w:ascii="Calibri" w:hAnsi="Calibri" w:cs="Calibri"/>
                <w:color w:val="000000"/>
                <w:sz w:val="22"/>
                <w:szCs w:val="22"/>
              </w:rPr>
              <w:t xml:space="preserve">, vilket innebär att nära samverkan med miljöexperter behöver upprättas i ett tidigt skede av händelsen.  </w:t>
            </w:r>
          </w:p>
          <w:p w14:paraId="50B725C1" w14:textId="49217869" w:rsidR="00454882" w:rsidRPr="004563DF" w:rsidRDefault="00454882" w:rsidP="00454882">
            <w:pPr>
              <w:rPr>
                <w:rFonts w:ascii="Calibri" w:hAnsi="Calibri" w:cs="Calibri"/>
                <w:color w:val="000000"/>
                <w:sz w:val="22"/>
                <w:szCs w:val="22"/>
              </w:rPr>
            </w:pPr>
          </w:p>
        </w:tc>
      </w:tr>
      <w:tr w:rsidR="000F2FCC" w14:paraId="6CB6B8DF" w14:textId="53FDAE3E" w:rsidTr="000F2FCC">
        <w:trPr>
          <w:trHeight w:val="230"/>
        </w:trPr>
        <w:tc>
          <w:tcPr>
            <w:tcW w:w="5277" w:type="dxa"/>
            <w:tcBorders>
              <w:top w:val="nil"/>
              <w:left w:val="nil"/>
              <w:bottom w:val="single" w:sz="4" w:space="0" w:color="auto"/>
              <w:right w:val="single" w:sz="4" w:space="0" w:color="auto"/>
            </w:tcBorders>
            <w:shd w:val="clear" w:color="auto" w:fill="F2DBDB" w:themeFill="accent2" w:themeFillTint="33"/>
          </w:tcPr>
          <w:p w14:paraId="7D20C1C6" w14:textId="38A5A4D6" w:rsidR="000F2FCC" w:rsidRPr="0083655F" w:rsidRDefault="000F2FCC" w:rsidP="000F2FCC">
            <w:pPr>
              <w:rPr>
                <w:rFonts w:asciiTheme="minorHAnsi" w:hAnsiTheme="minorHAnsi" w:cstheme="minorHAnsi"/>
                <w:b/>
                <w:bCs/>
              </w:rPr>
            </w:pPr>
            <w:r w:rsidRPr="0083655F">
              <w:rPr>
                <w:rFonts w:asciiTheme="minorHAnsi" w:hAnsiTheme="minorHAnsi" w:cstheme="minorHAnsi"/>
                <w:b/>
                <w:bCs/>
              </w:rPr>
              <w:t>Mätetal</w:t>
            </w:r>
          </w:p>
        </w:tc>
        <w:tc>
          <w:tcPr>
            <w:tcW w:w="2083" w:type="dxa"/>
            <w:tcBorders>
              <w:top w:val="nil"/>
              <w:left w:val="single" w:sz="4" w:space="0" w:color="auto"/>
              <w:bottom w:val="single" w:sz="4" w:space="0" w:color="auto"/>
              <w:right w:val="nil"/>
            </w:tcBorders>
            <w:shd w:val="clear" w:color="auto" w:fill="F2DBDB" w:themeFill="accent2" w:themeFillTint="33"/>
          </w:tcPr>
          <w:p w14:paraId="608C23F1" w14:textId="77777777" w:rsidR="000F2FCC" w:rsidRDefault="000F2FCC" w:rsidP="000F2FCC">
            <w:pPr>
              <w:rPr>
                <w:rFonts w:asciiTheme="minorHAnsi" w:hAnsiTheme="minorHAnsi" w:cstheme="minorHAnsi"/>
                <w:b/>
                <w:bCs/>
              </w:rPr>
            </w:pPr>
            <w:r w:rsidRPr="0083655F">
              <w:rPr>
                <w:rFonts w:asciiTheme="minorHAnsi" w:hAnsiTheme="minorHAnsi" w:cstheme="minorHAnsi"/>
                <w:b/>
                <w:bCs/>
              </w:rPr>
              <w:t xml:space="preserve">Uppföljning </w:t>
            </w:r>
            <w:r w:rsidR="0083655F" w:rsidRPr="0083655F">
              <w:rPr>
                <w:rFonts w:asciiTheme="minorHAnsi" w:hAnsiTheme="minorHAnsi" w:cstheme="minorHAnsi"/>
                <w:b/>
                <w:bCs/>
              </w:rPr>
              <w:t>genom</w:t>
            </w:r>
          </w:p>
          <w:p w14:paraId="46127137" w14:textId="7E215A24" w:rsidR="0083655F" w:rsidRPr="0083655F" w:rsidRDefault="0083655F" w:rsidP="000F2FCC">
            <w:pPr>
              <w:rPr>
                <w:rFonts w:asciiTheme="minorHAnsi" w:hAnsiTheme="minorHAnsi" w:cstheme="minorHAnsi"/>
                <w:b/>
                <w:bCs/>
              </w:rPr>
            </w:pPr>
          </w:p>
        </w:tc>
      </w:tr>
      <w:tr w:rsidR="000F2FCC" w14:paraId="47214F42" w14:textId="77777777" w:rsidTr="008A3ECA">
        <w:trPr>
          <w:trHeight w:val="921"/>
        </w:trPr>
        <w:tc>
          <w:tcPr>
            <w:tcW w:w="5277" w:type="dxa"/>
            <w:tcBorders>
              <w:top w:val="single" w:sz="4" w:space="0" w:color="auto"/>
              <w:left w:val="nil"/>
              <w:bottom w:val="single" w:sz="4" w:space="0" w:color="auto"/>
              <w:right w:val="single" w:sz="4" w:space="0" w:color="auto"/>
            </w:tcBorders>
            <w:shd w:val="clear" w:color="auto" w:fill="auto"/>
          </w:tcPr>
          <w:p w14:paraId="3C439D9F" w14:textId="1554D0A3" w:rsidR="000F2FCC" w:rsidRDefault="000F2FCC" w:rsidP="000F2FCC">
            <w:r w:rsidRPr="000F2FCC">
              <w:rPr>
                <w:rFonts w:ascii="Calibri" w:hAnsi="Calibri" w:cs="Calibri"/>
                <w:color w:val="000000"/>
              </w:rPr>
              <w:t xml:space="preserve">Berörda aktörer använder Digital Miljöatlas före och under en insats. </w:t>
            </w:r>
          </w:p>
        </w:tc>
        <w:tc>
          <w:tcPr>
            <w:tcW w:w="2083" w:type="dxa"/>
            <w:tcBorders>
              <w:top w:val="single" w:sz="4" w:space="0" w:color="auto"/>
              <w:left w:val="single" w:sz="4" w:space="0" w:color="auto"/>
              <w:bottom w:val="single" w:sz="4" w:space="0" w:color="auto"/>
              <w:right w:val="nil"/>
            </w:tcBorders>
            <w:shd w:val="clear" w:color="auto" w:fill="auto"/>
          </w:tcPr>
          <w:p w14:paraId="0902AFDC" w14:textId="25C66614" w:rsidR="000F2FCC" w:rsidRDefault="000F2FCC">
            <w:pPr>
              <w:spacing w:line="240" w:lineRule="auto"/>
              <w:rPr>
                <w:rFonts w:ascii="Calibri" w:eastAsiaTheme="minorHAnsi" w:hAnsi="Calibri" w:cs="Calibri"/>
                <w:color w:val="000000"/>
                <w:sz w:val="22"/>
                <w:szCs w:val="22"/>
                <w:lang w:eastAsia="en-US"/>
              </w:rPr>
            </w:pPr>
            <w:r>
              <w:rPr>
                <w:rFonts w:ascii="Calibri" w:hAnsi="Calibri" w:cs="Calibri"/>
                <w:color w:val="000000"/>
              </w:rPr>
              <w:t xml:space="preserve">Kartläggning av förmågan - </w:t>
            </w:r>
            <w:r w:rsidRPr="000F2FCC">
              <w:rPr>
                <w:rFonts w:ascii="Calibri" w:hAnsi="Calibri" w:cs="Calibri"/>
                <w:color w:val="000000"/>
              </w:rPr>
              <w:t>Sveriges oljeskyddsberedskap</w:t>
            </w:r>
          </w:p>
        </w:tc>
      </w:tr>
      <w:tr w:rsidR="000F2FCC" w14:paraId="3FDB91EA" w14:textId="3E649E44" w:rsidTr="008A3ECA">
        <w:trPr>
          <w:trHeight w:val="747"/>
        </w:trPr>
        <w:tc>
          <w:tcPr>
            <w:tcW w:w="5277" w:type="dxa"/>
            <w:tcBorders>
              <w:top w:val="single" w:sz="4" w:space="0" w:color="auto"/>
              <w:left w:val="nil"/>
              <w:bottom w:val="single" w:sz="4" w:space="0" w:color="auto"/>
              <w:right w:val="single" w:sz="4" w:space="0" w:color="auto"/>
            </w:tcBorders>
            <w:shd w:val="clear" w:color="auto" w:fill="auto"/>
          </w:tcPr>
          <w:p w14:paraId="32E2DF09" w14:textId="04E24A6A" w:rsidR="000F2FCC" w:rsidRDefault="000F2FCC" w:rsidP="000F2FCC">
            <w:pPr>
              <w:rPr>
                <w:rFonts w:ascii="Calibri" w:hAnsi="Calibri" w:cs="Calibri"/>
                <w:color w:val="000000"/>
              </w:rPr>
            </w:pPr>
            <w:r w:rsidRPr="000F2FCC">
              <w:rPr>
                <w:rFonts w:ascii="Calibri" w:hAnsi="Calibri" w:cs="Calibri"/>
                <w:color w:val="000000"/>
              </w:rPr>
              <w:t xml:space="preserve">Berörda aktörer allokerar resurser efter behovsanalys. </w:t>
            </w:r>
          </w:p>
          <w:p w14:paraId="1A90CB7F" w14:textId="42A351A9" w:rsidR="000F2FCC" w:rsidRDefault="000F2FCC" w:rsidP="000F2FCC"/>
        </w:tc>
        <w:tc>
          <w:tcPr>
            <w:tcW w:w="2083" w:type="dxa"/>
            <w:tcBorders>
              <w:top w:val="single" w:sz="4" w:space="0" w:color="auto"/>
              <w:left w:val="single" w:sz="4" w:space="0" w:color="auto"/>
              <w:bottom w:val="single" w:sz="4" w:space="0" w:color="auto"/>
              <w:right w:val="nil"/>
            </w:tcBorders>
            <w:shd w:val="clear" w:color="auto" w:fill="auto"/>
          </w:tcPr>
          <w:p w14:paraId="3518732A" w14:textId="4AAE4DDA" w:rsidR="000F2FCC" w:rsidRDefault="000F2FCC" w:rsidP="009515A8">
            <w:r w:rsidRPr="000F2FCC">
              <w:rPr>
                <w:rFonts w:ascii="Calibri" w:hAnsi="Calibri" w:cs="Calibri"/>
                <w:color w:val="000000"/>
              </w:rPr>
              <w:t>NSO</w:t>
            </w:r>
            <w:r w:rsidR="00217922">
              <w:rPr>
                <w:rFonts w:ascii="Calibri" w:hAnsi="Calibri" w:cs="Calibri"/>
                <w:color w:val="000000"/>
              </w:rPr>
              <w:t xml:space="preserve"> samt genom </w:t>
            </w:r>
            <w:r>
              <w:rPr>
                <w:rFonts w:ascii="Calibri" w:hAnsi="Calibri" w:cs="Calibri"/>
                <w:color w:val="000000"/>
              </w:rPr>
              <w:t xml:space="preserve">Kartläggning av förmågan - </w:t>
            </w:r>
            <w:r w:rsidRPr="000F2FCC">
              <w:rPr>
                <w:rFonts w:ascii="Calibri" w:hAnsi="Calibri" w:cs="Calibri"/>
                <w:color w:val="000000"/>
              </w:rPr>
              <w:t xml:space="preserve">Sveriges oljeskyddsberedskap </w:t>
            </w:r>
          </w:p>
        </w:tc>
      </w:tr>
      <w:tr w:rsidR="000F2FCC" w14:paraId="1A64A538" w14:textId="77777777" w:rsidTr="008A3ECA">
        <w:trPr>
          <w:trHeight w:val="893"/>
        </w:trPr>
        <w:tc>
          <w:tcPr>
            <w:tcW w:w="5277" w:type="dxa"/>
            <w:tcBorders>
              <w:top w:val="single" w:sz="4" w:space="0" w:color="auto"/>
              <w:left w:val="nil"/>
              <w:bottom w:val="nil"/>
              <w:right w:val="single" w:sz="4" w:space="0" w:color="auto"/>
            </w:tcBorders>
            <w:shd w:val="clear" w:color="auto" w:fill="auto"/>
          </w:tcPr>
          <w:p w14:paraId="2C18EB13" w14:textId="2EA41452" w:rsidR="000F2FCC" w:rsidRPr="000F2FCC" w:rsidRDefault="000F2FCC" w:rsidP="000F2FCC">
            <w:pPr>
              <w:rPr>
                <w:rFonts w:ascii="Calibri" w:hAnsi="Calibri" w:cs="Calibri"/>
                <w:color w:val="000000"/>
              </w:rPr>
            </w:pPr>
            <w:r w:rsidRPr="000F2FCC">
              <w:rPr>
                <w:rFonts w:ascii="Calibri" w:hAnsi="Calibri" w:cs="Calibri"/>
                <w:color w:val="000000"/>
              </w:rPr>
              <w:t xml:space="preserve">Ansvariga aktörer säkerställer att lokal, regional och nationell information i Digital Miljöatlas är uppdaterad </w:t>
            </w:r>
          </w:p>
        </w:tc>
        <w:tc>
          <w:tcPr>
            <w:tcW w:w="2083" w:type="dxa"/>
            <w:tcBorders>
              <w:top w:val="single" w:sz="4" w:space="0" w:color="auto"/>
              <w:left w:val="single" w:sz="4" w:space="0" w:color="auto"/>
              <w:bottom w:val="nil"/>
              <w:right w:val="nil"/>
            </w:tcBorders>
            <w:shd w:val="clear" w:color="auto" w:fill="auto"/>
          </w:tcPr>
          <w:p w14:paraId="52FEF75E" w14:textId="15400FB1" w:rsidR="000F2FCC" w:rsidRDefault="000F2FCC" w:rsidP="000F2FCC">
            <w:pPr>
              <w:rPr>
                <w:rFonts w:eastAsiaTheme="minorHAnsi"/>
              </w:rPr>
            </w:pPr>
            <w:r>
              <w:rPr>
                <w:rFonts w:ascii="Calibri" w:hAnsi="Calibri" w:cs="Calibri"/>
                <w:color w:val="000000"/>
              </w:rPr>
              <w:t xml:space="preserve">Kartläggning av förmågan - </w:t>
            </w:r>
            <w:r w:rsidRPr="000F2FCC">
              <w:rPr>
                <w:rFonts w:ascii="Calibri" w:hAnsi="Calibri" w:cs="Calibri"/>
                <w:color w:val="000000"/>
              </w:rPr>
              <w:t>Sveriges oljeskyddsberedskap</w:t>
            </w:r>
          </w:p>
        </w:tc>
      </w:tr>
    </w:tbl>
    <w:p w14:paraId="02D43BDE" w14:textId="075DBEE7" w:rsidR="00E33D52" w:rsidRDefault="00E33D52" w:rsidP="00F813E3">
      <w:pPr>
        <w:pStyle w:val="Brdtext"/>
      </w:pPr>
    </w:p>
    <w:p w14:paraId="32716B40" w14:textId="77777777" w:rsidR="00E33D52" w:rsidRDefault="00E33D52">
      <w:pPr>
        <w:spacing w:line="240" w:lineRule="auto"/>
      </w:pPr>
      <w:r>
        <w:br w:type="page"/>
      </w:r>
    </w:p>
    <w:p w14:paraId="0D9E277E" w14:textId="77777777" w:rsidR="008F284F" w:rsidRDefault="008F284F" w:rsidP="00F813E3">
      <w:pPr>
        <w:pStyle w:val="Brdtext"/>
      </w:pPr>
    </w:p>
    <w:tbl>
      <w:tblPr>
        <w:tblStyle w:val="Tabellrutnt"/>
        <w:tblW w:w="0" w:type="auto"/>
        <w:tblLook w:val="04A0" w:firstRow="1" w:lastRow="0" w:firstColumn="1" w:lastColumn="0" w:noHBand="0" w:noVBand="1"/>
      </w:tblPr>
      <w:tblGrid>
        <w:gridCol w:w="5380"/>
        <w:gridCol w:w="1980"/>
      </w:tblGrid>
      <w:tr w:rsidR="00DF68C0" w:rsidRPr="004563DF" w14:paraId="4DEA3832" w14:textId="77777777" w:rsidTr="008A728D">
        <w:tc>
          <w:tcPr>
            <w:tcW w:w="7360" w:type="dxa"/>
            <w:gridSpan w:val="2"/>
            <w:tcBorders>
              <w:top w:val="nil"/>
              <w:left w:val="nil"/>
              <w:bottom w:val="nil"/>
              <w:right w:val="nil"/>
            </w:tcBorders>
            <w:shd w:val="clear" w:color="auto" w:fill="E67C5E"/>
          </w:tcPr>
          <w:p w14:paraId="344ECBB9" w14:textId="35039AA4" w:rsidR="00DF68C0" w:rsidRPr="004563DF" w:rsidRDefault="00A34500" w:rsidP="008A728D">
            <w:pPr>
              <w:pStyle w:val="Liststycke"/>
              <w:numPr>
                <w:ilvl w:val="0"/>
                <w:numId w:val="54"/>
              </w:numPr>
              <w:rPr>
                <w:b/>
                <w:bCs/>
              </w:rPr>
            </w:pPr>
            <w:r>
              <w:rPr>
                <w:b/>
                <w:bCs/>
              </w:rPr>
              <w:t>Nationell o</w:t>
            </w:r>
            <w:r w:rsidRPr="004563DF">
              <w:rPr>
                <w:b/>
                <w:bCs/>
              </w:rPr>
              <w:t>ljeskyddsplanering</w:t>
            </w:r>
            <w:r w:rsidR="00217922">
              <w:rPr>
                <w:rStyle w:val="Fotnotsreferens"/>
                <w:b/>
                <w:bCs/>
              </w:rPr>
              <w:footnoteReference w:id="19"/>
            </w:r>
          </w:p>
        </w:tc>
      </w:tr>
      <w:tr w:rsidR="00DF68C0" w:rsidRPr="004563DF" w14:paraId="57712004" w14:textId="77777777" w:rsidTr="008A3ECA">
        <w:tc>
          <w:tcPr>
            <w:tcW w:w="7360" w:type="dxa"/>
            <w:gridSpan w:val="2"/>
            <w:tcBorders>
              <w:top w:val="nil"/>
              <w:left w:val="nil"/>
              <w:bottom w:val="nil"/>
              <w:right w:val="nil"/>
            </w:tcBorders>
            <w:shd w:val="clear" w:color="auto" w:fill="auto"/>
          </w:tcPr>
          <w:p w14:paraId="3D4F6F14" w14:textId="7040A126" w:rsidR="001D1BE2" w:rsidRDefault="001D1BE2" w:rsidP="00121BFB">
            <w:pPr>
              <w:rPr>
                <w:rFonts w:ascii="Calibri" w:hAnsi="Calibri" w:cs="Calibri"/>
                <w:color w:val="000000"/>
                <w:sz w:val="22"/>
                <w:szCs w:val="22"/>
              </w:rPr>
            </w:pPr>
            <w:r>
              <w:rPr>
                <w:rFonts w:ascii="Calibri" w:hAnsi="Calibri" w:cs="Calibri"/>
                <w:color w:val="000000"/>
                <w:sz w:val="22"/>
                <w:szCs w:val="22"/>
              </w:rPr>
              <w:t xml:space="preserve">För de riktigt stora olyckorna </w:t>
            </w:r>
            <w:r w:rsidR="00622C83">
              <w:rPr>
                <w:rFonts w:ascii="Calibri" w:hAnsi="Calibri" w:cs="Calibri"/>
                <w:color w:val="000000"/>
                <w:sz w:val="22"/>
                <w:szCs w:val="22"/>
              </w:rPr>
              <w:t>kan</w:t>
            </w:r>
            <w:r>
              <w:rPr>
                <w:rFonts w:ascii="Calibri" w:hAnsi="Calibri" w:cs="Calibri"/>
                <w:color w:val="000000"/>
                <w:sz w:val="22"/>
                <w:szCs w:val="22"/>
              </w:rPr>
              <w:t xml:space="preserve"> </w:t>
            </w:r>
            <w:r w:rsidR="00622C83">
              <w:rPr>
                <w:rFonts w:ascii="Calibri" w:hAnsi="Calibri" w:cs="Calibri"/>
                <w:color w:val="000000"/>
                <w:sz w:val="22"/>
                <w:szCs w:val="22"/>
              </w:rPr>
              <w:t xml:space="preserve">den befintliga </w:t>
            </w:r>
            <w:r>
              <w:rPr>
                <w:rFonts w:ascii="Calibri" w:hAnsi="Calibri" w:cs="Calibri"/>
                <w:color w:val="000000"/>
                <w:sz w:val="22"/>
                <w:szCs w:val="22"/>
              </w:rPr>
              <w:t xml:space="preserve">oljeskyddsplaneringen </w:t>
            </w:r>
            <w:r w:rsidR="00622C83">
              <w:rPr>
                <w:rFonts w:ascii="Calibri" w:hAnsi="Calibri" w:cs="Calibri"/>
                <w:color w:val="000000"/>
                <w:sz w:val="22"/>
                <w:szCs w:val="22"/>
              </w:rPr>
              <w:t xml:space="preserve">vara </w:t>
            </w:r>
            <w:r>
              <w:rPr>
                <w:rFonts w:ascii="Calibri" w:hAnsi="Calibri" w:cs="Calibri"/>
                <w:color w:val="000000"/>
                <w:sz w:val="22"/>
                <w:szCs w:val="22"/>
              </w:rPr>
              <w:t>bristfällig.</w:t>
            </w:r>
            <w:r w:rsidR="002324AA">
              <w:rPr>
                <w:rFonts w:ascii="Calibri" w:hAnsi="Calibri" w:cs="Calibri"/>
                <w:color w:val="000000"/>
                <w:sz w:val="22"/>
                <w:szCs w:val="22"/>
              </w:rPr>
              <w:t xml:space="preserve"> </w:t>
            </w:r>
            <w:r w:rsidR="00622C83">
              <w:rPr>
                <w:rFonts w:ascii="Calibri" w:hAnsi="Calibri" w:cs="Calibri"/>
                <w:color w:val="000000"/>
                <w:sz w:val="22"/>
                <w:szCs w:val="22"/>
              </w:rPr>
              <w:t xml:space="preserve">Med seminarieövning </w:t>
            </w:r>
            <w:r w:rsidR="00B467EA">
              <w:rPr>
                <w:rFonts w:ascii="Calibri" w:hAnsi="Calibri" w:cs="Calibri"/>
                <w:color w:val="000000"/>
                <w:sz w:val="22"/>
                <w:szCs w:val="22"/>
              </w:rPr>
              <w:t xml:space="preserve">av storskalig föroreningsolycka till sjöss </w:t>
            </w:r>
            <w:r w:rsidR="00622C83">
              <w:rPr>
                <w:rFonts w:ascii="Calibri" w:hAnsi="Calibri" w:cs="Calibri"/>
                <w:color w:val="000000"/>
                <w:sz w:val="22"/>
                <w:szCs w:val="22"/>
              </w:rPr>
              <w:t xml:space="preserve">som verktyg analyseras om det finns behov av en </w:t>
            </w:r>
            <w:r w:rsidR="00121BFB">
              <w:rPr>
                <w:rFonts w:ascii="Calibri" w:hAnsi="Calibri" w:cs="Calibri"/>
                <w:color w:val="000000"/>
                <w:sz w:val="22"/>
                <w:szCs w:val="22"/>
              </w:rPr>
              <w:t xml:space="preserve">kompletterande </w:t>
            </w:r>
            <w:r w:rsidR="00622C83">
              <w:rPr>
                <w:rFonts w:ascii="Calibri" w:hAnsi="Calibri" w:cs="Calibri"/>
                <w:color w:val="000000"/>
                <w:sz w:val="22"/>
                <w:szCs w:val="22"/>
              </w:rPr>
              <w:t xml:space="preserve">nationell oljeskyddsplan. Om behov konstateras </w:t>
            </w:r>
            <w:r w:rsidR="00217922">
              <w:rPr>
                <w:rFonts w:ascii="Calibri" w:hAnsi="Calibri" w:cs="Calibri"/>
                <w:color w:val="000000"/>
                <w:sz w:val="22"/>
                <w:szCs w:val="22"/>
              </w:rPr>
              <w:t>initieras arbete med att utveckla</w:t>
            </w:r>
            <w:r w:rsidR="00622C83">
              <w:rPr>
                <w:rFonts w:ascii="Calibri" w:hAnsi="Calibri" w:cs="Calibri"/>
                <w:color w:val="000000"/>
                <w:sz w:val="22"/>
                <w:szCs w:val="22"/>
              </w:rPr>
              <w:t xml:space="preserve"> en nationell </w:t>
            </w:r>
            <w:r w:rsidR="00217922">
              <w:rPr>
                <w:rFonts w:ascii="Calibri" w:hAnsi="Calibri" w:cs="Calibri"/>
                <w:color w:val="000000"/>
                <w:sz w:val="22"/>
                <w:szCs w:val="22"/>
              </w:rPr>
              <w:t>oljeskydds</w:t>
            </w:r>
            <w:r w:rsidR="00622C83">
              <w:rPr>
                <w:rFonts w:ascii="Calibri" w:hAnsi="Calibri" w:cs="Calibri"/>
                <w:color w:val="000000"/>
                <w:sz w:val="22"/>
                <w:szCs w:val="22"/>
              </w:rPr>
              <w:t>plan som utgår ifrån, och är ett komplement till</w:t>
            </w:r>
            <w:r w:rsidR="006E0AD6">
              <w:rPr>
                <w:rFonts w:ascii="Calibri" w:hAnsi="Calibri" w:cs="Calibri"/>
                <w:color w:val="000000"/>
                <w:sz w:val="22"/>
                <w:szCs w:val="22"/>
              </w:rPr>
              <w:t>,</w:t>
            </w:r>
            <w:r w:rsidR="00622C83">
              <w:rPr>
                <w:rFonts w:ascii="Calibri" w:hAnsi="Calibri" w:cs="Calibri"/>
                <w:color w:val="000000"/>
                <w:sz w:val="22"/>
                <w:szCs w:val="22"/>
              </w:rPr>
              <w:t xml:space="preserve"> de lokala och/eller regionala </w:t>
            </w:r>
            <w:r>
              <w:rPr>
                <w:rFonts w:ascii="Calibri" w:hAnsi="Calibri" w:cs="Calibri"/>
                <w:color w:val="000000"/>
                <w:sz w:val="22"/>
                <w:szCs w:val="22"/>
              </w:rPr>
              <w:t>oljeskyddsplanern</w:t>
            </w:r>
            <w:r w:rsidR="00622C83">
              <w:rPr>
                <w:rFonts w:ascii="Calibri" w:hAnsi="Calibri" w:cs="Calibri"/>
                <w:color w:val="000000"/>
                <w:sz w:val="22"/>
                <w:szCs w:val="22"/>
              </w:rPr>
              <w:t>a.</w:t>
            </w:r>
            <w:r w:rsidR="002324AA">
              <w:rPr>
                <w:rFonts w:ascii="Calibri" w:hAnsi="Calibri" w:cs="Calibri"/>
                <w:color w:val="000000"/>
                <w:sz w:val="22"/>
                <w:szCs w:val="22"/>
              </w:rPr>
              <w:t xml:space="preserve"> </w:t>
            </w:r>
            <w:r w:rsidR="00217922">
              <w:rPr>
                <w:rFonts w:ascii="Calibri" w:hAnsi="Calibri" w:cs="Calibri"/>
                <w:color w:val="000000"/>
                <w:sz w:val="22"/>
                <w:szCs w:val="22"/>
              </w:rPr>
              <w:t>En</w:t>
            </w:r>
            <w:r w:rsidR="00622C83">
              <w:rPr>
                <w:rFonts w:ascii="Calibri" w:hAnsi="Calibri" w:cs="Calibri"/>
                <w:color w:val="000000"/>
                <w:sz w:val="22"/>
                <w:szCs w:val="22"/>
              </w:rPr>
              <w:t xml:space="preserve"> nationell oljeskyddsplan ersätter inte andra aktörers ansvar</w:t>
            </w:r>
            <w:r w:rsidR="00121BFB">
              <w:rPr>
                <w:rFonts w:ascii="Calibri" w:hAnsi="Calibri" w:cs="Calibri"/>
                <w:color w:val="000000"/>
                <w:sz w:val="22"/>
                <w:szCs w:val="22"/>
              </w:rPr>
              <w:t xml:space="preserve"> för planeringen</w:t>
            </w:r>
            <w:r w:rsidR="00622C83">
              <w:rPr>
                <w:rFonts w:ascii="Calibri" w:hAnsi="Calibri" w:cs="Calibri"/>
                <w:color w:val="000000"/>
                <w:sz w:val="22"/>
                <w:szCs w:val="22"/>
              </w:rPr>
              <w:t xml:space="preserve">. </w:t>
            </w:r>
          </w:p>
          <w:p w14:paraId="2D7AB4A6" w14:textId="0EAA7B78" w:rsidR="00121BFB" w:rsidRPr="001D1BE2" w:rsidRDefault="00121BFB" w:rsidP="00121BFB">
            <w:pPr>
              <w:rPr>
                <w:rFonts w:ascii="Calibri" w:hAnsi="Calibri" w:cs="Calibri"/>
                <w:color w:val="000000"/>
                <w:sz w:val="22"/>
                <w:szCs w:val="22"/>
              </w:rPr>
            </w:pPr>
          </w:p>
        </w:tc>
      </w:tr>
      <w:tr w:rsidR="00217922" w:rsidRPr="004563DF" w14:paraId="575D71CA" w14:textId="49A37D1B" w:rsidTr="00217922">
        <w:trPr>
          <w:trHeight w:val="430"/>
        </w:trPr>
        <w:tc>
          <w:tcPr>
            <w:tcW w:w="5380" w:type="dxa"/>
            <w:tcBorders>
              <w:top w:val="nil"/>
              <w:left w:val="nil"/>
              <w:bottom w:val="single" w:sz="4" w:space="0" w:color="auto"/>
              <w:right w:val="single" w:sz="4" w:space="0" w:color="auto"/>
            </w:tcBorders>
            <w:shd w:val="clear" w:color="auto" w:fill="F2DBDB" w:themeFill="accent2" w:themeFillTint="33"/>
          </w:tcPr>
          <w:p w14:paraId="7BA3D634" w14:textId="3A3F19F7" w:rsidR="00217922" w:rsidRPr="00217922" w:rsidRDefault="00217922" w:rsidP="00217922">
            <w:pPr>
              <w:rPr>
                <w:rFonts w:ascii="Calibri" w:hAnsi="Calibri" w:cs="Calibri"/>
                <w:color w:val="000000"/>
              </w:rPr>
            </w:pPr>
            <w:r w:rsidRPr="000F2FCC">
              <w:rPr>
                <w:rFonts w:asciiTheme="minorHAnsi" w:hAnsiTheme="minorHAnsi" w:cstheme="minorHAnsi"/>
                <w:b/>
                <w:bCs/>
              </w:rPr>
              <w:t>Mätetal</w:t>
            </w:r>
          </w:p>
        </w:tc>
        <w:tc>
          <w:tcPr>
            <w:tcW w:w="1980" w:type="dxa"/>
            <w:tcBorders>
              <w:top w:val="nil"/>
              <w:left w:val="single" w:sz="4" w:space="0" w:color="auto"/>
              <w:bottom w:val="single" w:sz="4" w:space="0" w:color="auto"/>
              <w:right w:val="nil"/>
            </w:tcBorders>
            <w:shd w:val="clear" w:color="auto" w:fill="F2DBDB" w:themeFill="accent2" w:themeFillTint="33"/>
          </w:tcPr>
          <w:p w14:paraId="200362F5" w14:textId="458CB194" w:rsidR="00217922" w:rsidRPr="00217922" w:rsidRDefault="00217922" w:rsidP="00217922">
            <w:pPr>
              <w:rPr>
                <w:rFonts w:ascii="Calibri" w:hAnsi="Calibri" w:cs="Calibri"/>
                <w:color w:val="000000"/>
              </w:rPr>
            </w:pPr>
            <w:r w:rsidRPr="000F2FCC">
              <w:rPr>
                <w:rFonts w:asciiTheme="minorHAnsi" w:hAnsiTheme="minorHAnsi" w:cstheme="minorHAnsi"/>
                <w:b/>
                <w:bCs/>
              </w:rPr>
              <w:t xml:space="preserve">Uppföljning </w:t>
            </w:r>
            <w:r w:rsidR="0083655F" w:rsidRPr="0083655F">
              <w:rPr>
                <w:rFonts w:asciiTheme="minorHAnsi" w:hAnsiTheme="minorHAnsi" w:cstheme="minorHAnsi"/>
                <w:b/>
                <w:bCs/>
              </w:rPr>
              <w:t>genom</w:t>
            </w:r>
          </w:p>
        </w:tc>
      </w:tr>
      <w:tr w:rsidR="00217922" w:rsidRPr="004563DF" w14:paraId="1E6DA9CE" w14:textId="77777777" w:rsidTr="008A3ECA">
        <w:trPr>
          <w:trHeight w:val="430"/>
        </w:trPr>
        <w:tc>
          <w:tcPr>
            <w:tcW w:w="5380" w:type="dxa"/>
            <w:tcBorders>
              <w:top w:val="single" w:sz="4" w:space="0" w:color="auto"/>
              <w:left w:val="nil"/>
              <w:bottom w:val="single" w:sz="4" w:space="0" w:color="auto"/>
              <w:right w:val="single" w:sz="4" w:space="0" w:color="auto"/>
            </w:tcBorders>
            <w:shd w:val="clear" w:color="auto" w:fill="auto"/>
          </w:tcPr>
          <w:p w14:paraId="50D28707" w14:textId="7A732065" w:rsidR="00217922" w:rsidRPr="00217922" w:rsidRDefault="00217922" w:rsidP="00217922">
            <w:pPr>
              <w:rPr>
                <w:rFonts w:cstheme="minorHAnsi"/>
                <w:b/>
                <w:bCs/>
              </w:rPr>
            </w:pPr>
            <w:r w:rsidRPr="00217922">
              <w:rPr>
                <w:rFonts w:ascii="Calibri" w:hAnsi="Calibri" w:cs="Calibri"/>
                <w:color w:val="000000"/>
              </w:rPr>
              <w:t>Seminarieövning genomförs</w:t>
            </w:r>
            <w:r w:rsidR="006E0AD6">
              <w:rPr>
                <w:rFonts w:ascii="Calibri" w:hAnsi="Calibri" w:cs="Calibri"/>
                <w:color w:val="000000"/>
              </w:rPr>
              <w:t>.</w:t>
            </w:r>
            <w:r w:rsidRPr="00217922">
              <w:rPr>
                <w:rFonts w:ascii="Calibri" w:hAnsi="Calibri" w:cs="Calibri"/>
                <w:color w:val="000000"/>
              </w:rPr>
              <w:t xml:space="preserve"> </w:t>
            </w:r>
          </w:p>
        </w:tc>
        <w:tc>
          <w:tcPr>
            <w:tcW w:w="1980" w:type="dxa"/>
            <w:tcBorders>
              <w:top w:val="single" w:sz="4" w:space="0" w:color="auto"/>
              <w:left w:val="single" w:sz="4" w:space="0" w:color="auto"/>
              <w:bottom w:val="single" w:sz="4" w:space="0" w:color="auto"/>
              <w:right w:val="nil"/>
            </w:tcBorders>
            <w:shd w:val="clear" w:color="auto" w:fill="auto"/>
          </w:tcPr>
          <w:p w14:paraId="37930683" w14:textId="2EB2CB44" w:rsidR="00217922" w:rsidRDefault="00217922" w:rsidP="00217922">
            <w:pPr>
              <w:spacing w:line="240" w:lineRule="auto"/>
              <w:rPr>
                <w:rFonts w:ascii="Calibri" w:eastAsiaTheme="minorHAnsi" w:hAnsi="Calibri" w:cs="Calibri"/>
                <w:color w:val="000000"/>
                <w:sz w:val="22"/>
                <w:szCs w:val="22"/>
                <w:lang w:eastAsia="en-US"/>
              </w:rPr>
            </w:pPr>
            <w:r w:rsidRPr="00023A83">
              <w:rPr>
                <w:rFonts w:ascii="Calibri" w:hAnsi="Calibri" w:cs="Calibri"/>
                <w:color w:val="000000"/>
              </w:rPr>
              <w:t xml:space="preserve">NSO </w:t>
            </w:r>
          </w:p>
        </w:tc>
      </w:tr>
      <w:tr w:rsidR="00217922" w:rsidRPr="004563DF" w14:paraId="0A7AB58F" w14:textId="77777777" w:rsidTr="008A3ECA">
        <w:trPr>
          <w:trHeight w:val="550"/>
        </w:trPr>
        <w:tc>
          <w:tcPr>
            <w:tcW w:w="5380" w:type="dxa"/>
            <w:tcBorders>
              <w:top w:val="single" w:sz="4" w:space="0" w:color="auto"/>
              <w:left w:val="nil"/>
              <w:bottom w:val="single" w:sz="4" w:space="0" w:color="auto"/>
              <w:right w:val="single" w:sz="4" w:space="0" w:color="auto"/>
            </w:tcBorders>
            <w:shd w:val="clear" w:color="auto" w:fill="auto"/>
          </w:tcPr>
          <w:p w14:paraId="3B40FD40" w14:textId="2AC805B0" w:rsidR="00217922" w:rsidRDefault="00217922" w:rsidP="00217922">
            <w:pPr>
              <w:rPr>
                <w:rFonts w:ascii="Calibri" w:hAnsi="Calibri" w:cs="Calibri"/>
                <w:color w:val="000000"/>
              </w:rPr>
            </w:pPr>
            <w:r w:rsidRPr="00217922">
              <w:rPr>
                <w:rFonts w:ascii="Calibri" w:hAnsi="Calibri" w:cs="Calibri"/>
                <w:color w:val="000000"/>
              </w:rPr>
              <w:t>Gap-analys genomförs</w:t>
            </w:r>
            <w:r>
              <w:rPr>
                <w:rFonts w:ascii="Calibri" w:hAnsi="Calibri" w:cs="Calibri"/>
                <w:color w:val="000000"/>
              </w:rPr>
              <w:t xml:space="preserve"> i syfte att identifiera gapet mellan nuvarande och optimal planering för stora och komplexa olyckor. </w:t>
            </w:r>
          </w:p>
          <w:p w14:paraId="44435CE9" w14:textId="6BB8383E" w:rsidR="00217922" w:rsidRPr="00217922" w:rsidRDefault="00217922" w:rsidP="00217922">
            <w:pPr>
              <w:rPr>
                <w:rFonts w:ascii="Calibri" w:hAnsi="Calibri" w:cs="Calibri"/>
                <w:color w:val="000000"/>
                <w:highlight w:val="yellow"/>
              </w:rPr>
            </w:pPr>
          </w:p>
        </w:tc>
        <w:tc>
          <w:tcPr>
            <w:tcW w:w="1980" w:type="dxa"/>
            <w:tcBorders>
              <w:top w:val="single" w:sz="4" w:space="0" w:color="auto"/>
              <w:left w:val="single" w:sz="4" w:space="0" w:color="auto"/>
              <w:bottom w:val="single" w:sz="4" w:space="0" w:color="auto"/>
              <w:right w:val="nil"/>
            </w:tcBorders>
            <w:shd w:val="clear" w:color="auto" w:fill="auto"/>
          </w:tcPr>
          <w:p w14:paraId="67503128" w14:textId="6DBD446F" w:rsidR="00217922" w:rsidRDefault="00217922" w:rsidP="00217922">
            <w:pPr>
              <w:spacing w:line="240" w:lineRule="auto"/>
              <w:rPr>
                <w:rFonts w:ascii="Calibri" w:eastAsiaTheme="minorHAnsi" w:hAnsi="Calibri" w:cs="Calibri"/>
                <w:color w:val="000000"/>
                <w:sz w:val="22"/>
                <w:szCs w:val="22"/>
                <w:lang w:eastAsia="en-US"/>
              </w:rPr>
            </w:pPr>
            <w:r w:rsidRPr="00023A83">
              <w:rPr>
                <w:rFonts w:ascii="Calibri" w:hAnsi="Calibri" w:cs="Calibri"/>
                <w:color w:val="000000"/>
              </w:rPr>
              <w:t xml:space="preserve">NSO </w:t>
            </w:r>
          </w:p>
        </w:tc>
      </w:tr>
      <w:tr w:rsidR="00217922" w:rsidRPr="004563DF" w14:paraId="02C23404" w14:textId="77777777" w:rsidTr="008A3ECA">
        <w:trPr>
          <w:trHeight w:val="550"/>
        </w:trPr>
        <w:tc>
          <w:tcPr>
            <w:tcW w:w="5380" w:type="dxa"/>
            <w:tcBorders>
              <w:top w:val="single" w:sz="4" w:space="0" w:color="auto"/>
              <w:left w:val="nil"/>
              <w:bottom w:val="nil"/>
              <w:right w:val="single" w:sz="4" w:space="0" w:color="auto"/>
            </w:tcBorders>
            <w:shd w:val="clear" w:color="auto" w:fill="auto"/>
          </w:tcPr>
          <w:p w14:paraId="5D75DCE4" w14:textId="2DAEAA9E" w:rsidR="00217922" w:rsidRPr="00217922" w:rsidRDefault="00217922" w:rsidP="00217922">
            <w:pPr>
              <w:rPr>
                <w:rFonts w:ascii="Calibri" w:hAnsi="Calibri" w:cs="Calibri"/>
                <w:color w:val="000000"/>
                <w:highlight w:val="yellow"/>
              </w:rPr>
            </w:pPr>
            <w:r w:rsidRPr="00217922">
              <w:rPr>
                <w:rFonts w:ascii="Calibri" w:hAnsi="Calibri" w:cs="Calibri"/>
                <w:color w:val="000000"/>
              </w:rPr>
              <w:t>Analys av roller och ansvar</w:t>
            </w:r>
            <w:r w:rsidR="006E0AD6">
              <w:rPr>
                <w:rFonts w:ascii="Calibri" w:hAnsi="Calibri" w:cs="Calibri"/>
                <w:color w:val="000000"/>
              </w:rPr>
              <w:t>.</w:t>
            </w:r>
          </w:p>
        </w:tc>
        <w:tc>
          <w:tcPr>
            <w:tcW w:w="1980" w:type="dxa"/>
            <w:tcBorders>
              <w:top w:val="single" w:sz="4" w:space="0" w:color="auto"/>
              <w:left w:val="single" w:sz="4" w:space="0" w:color="auto"/>
              <w:bottom w:val="nil"/>
              <w:right w:val="nil"/>
            </w:tcBorders>
            <w:shd w:val="clear" w:color="auto" w:fill="auto"/>
          </w:tcPr>
          <w:p w14:paraId="0DA80B32" w14:textId="38CAC697" w:rsidR="00217922" w:rsidRDefault="00217922" w:rsidP="00217922">
            <w:pPr>
              <w:spacing w:line="240" w:lineRule="auto"/>
              <w:rPr>
                <w:rFonts w:ascii="Calibri" w:eastAsiaTheme="minorHAnsi" w:hAnsi="Calibri" w:cs="Calibri"/>
                <w:color w:val="000000"/>
                <w:sz w:val="22"/>
                <w:szCs w:val="22"/>
                <w:lang w:eastAsia="en-US"/>
              </w:rPr>
            </w:pPr>
            <w:r w:rsidRPr="00023A83">
              <w:rPr>
                <w:rFonts w:ascii="Calibri" w:hAnsi="Calibri" w:cs="Calibri"/>
                <w:color w:val="000000"/>
              </w:rPr>
              <w:t xml:space="preserve">NSO </w:t>
            </w:r>
          </w:p>
        </w:tc>
      </w:tr>
    </w:tbl>
    <w:p w14:paraId="04BEF09F" w14:textId="77777777" w:rsidR="00817943" w:rsidRDefault="00817943" w:rsidP="00817943">
      <w:pPr>
        <w:pStyle w:val="Brdtext"/>
      </w:pPr>
    </w:p>
    <w:p w14:paraId="54975CD0" w14:textId="77777777" w:rsidR="00E33D52" w:rsidRDefault="00E33D52">
      <w:pPr>
        <w:spacing w:line="240" w:lineRule="auto"/>
        <w:rPr>
          <w:rFonts w:ascii="Verdana" w:hAnsi="Verdana"/>
          <w:b/>
        </w:rPr>
      </w:pPr>
      <w:r>
        <w:br w:type="page"/>
      </w:r>
    </w:p>
    <w:p w14:paraId="2C21B0CC" w14:textId="0E46FE53" w:rsidR="00817943" w:rsidRDefault="00817943" w:rsidP="00817943">
      <w:pPr>
        <w:pStyle w:val="Rubrik3"/>
      </w:pPr>
      <w:bookmarkStart w:id="15" w:name="_Toc93561715"/>
      <w:r>
        <w:lastRenderedPageBreak/>
        <w:t>Prioriterade åtgärder på regional nivå</w:t>
      </w:r>
      <w:bookmarkEnd w:id="15"/>
    </w:p>
    <w:tbl>
      <w:tblPr>
        <w:tblStyle w:val="Tabellrutnt"/>
        <w:tblW w:w="0" w:type="auto"/>
        <w:tblLook w:val="04A0" w:firstRow="1" w:lastRow="0" w:firstColumn="1" w:lastColumn="0" w:noHBand="0" w:noVBand="1"/>
      </w:tblPr>
      <w:tblGrid>
        <w:gridCol w:w="5330"/>
        <w:gridCol w:w="2030"/>
      </w:tblGrid>
      <w:tr w:rsidR="00817943" w:rsidRPr="004563DF" w14:paraId="7F8491A4" w14:textId="77777777" w:rsidTr="0083655F">
        <w:tc>
          <w:tcPr>
            <w:tcW w:w="7360" w:type="dxa"/>
            <w:gridSpan w:val="2"/>
            <w:tcBorders>
              <w:top w:val="nil"/>
              <w:left w:val="nil"/>
              <w:bottom w:val="nil"/>
              <w:right w:val="nil"/>
            </w:tcBorders>
            <w:shd w:val="clear" w:color="auto" w:fill="DB4B32"/>
          </w:tcPr>
          <w:p w14:paraId="66EF25A8" w14:textId="4D8A5B71" w:rsidR="00817943" w:rsidRPr="004563DF" w:rsidRDefault="0030016C" w:rsidP="008A728D">
            <w:pPr>
              <w:pStyle w:val="Brdtext"/>
              <w:numPr>
                <w:ilvl w:val="0"/>
                <w:numId w:val="85"/>
              </w:numPr>
              <w:rPr>
                <w:rFonts w:asciiTheme="minorHAnsi" w:hAnsiTheme="minorHAnsi" w:cstheme="minorHAnsi"/>
                <w:b/>
                <w:bCs/>
              </w:rPr>
            </w:pPr>
            <w:bookmarkStart w:id="16" w:name="_Hlk89348937"/>
            <w:r>
              <w:rPr>
                <w:rFonts w:asciiTheme="minorHAnsi" w:hAnsiTheme="minorHAnsi" w:cstheme="minorHAnsi"/>
                <w:b/>
                <w:bCs/>
              </w:rPr>
              <w:t>Utsläpp från f</w:t>
            </w:r>
            <w:r w:rsidRPr="00077951">
              <w:rPr>
                <w:rFonts w:asciiTheme="minorHAnsi" w:hAnsiTheme="minorHAnsi" w:cstheme="minorHAnsi"/>
                <w:b/>
                <w:bCs/>
              </w:rPr>
              <w:t xml:space="preserve">artygsolyckor </w:t>
            </w:r>
            <w:r w:rsidR="00A84122">
              <w:rPr>
                <w:rFonts w:ascii="Calibri" w:hAnsi="Calibri" w:cs="Calibri"/>
                <w:b/>
                <w:color w:val="000000"/>
                <w:sz w:val="22"/>
                <w:szCs w:val="22"/>
              </w:rPr>
              <w:t xml:space="preserve">i </w:t>
            </w:r>
            <w:r w:rsidR="00145B94">
              <w:rPr>
                <w:rFonts w:ascii="Calibri" w:hAnsi="Calibri" w:cs="Calibri"/>
                <w:b/>
                <w:color w:val="000000"/>
                <w:sz w:val="22"/>
                <w:szCs w:val="22"/>
              </w:rPr>
              <w:t>regional</w:t>
            </w:r>
            <w:r w:rsidR="00234210">
              <w:rPr>
                <w:rFonts w:ascii="Calibri" w:hAnsi="Calibri" w:cs="Calibri"/>
                <w:b/>
                <w:color w:val="000000"/>
                <w:sz w:val="22"/>
                <w:szCs w:val="22"/>
              </w:rPr>
              <w:t xml:space="preserve"> risk- och sårbarhetsanalys</w:t>
            </w:r>
            <w:r w:rsidR="00145B94">
              <w:rPr>
                <w:rFonts w:ascii="Calibri" w:hAnsi="Calibri" w:cs="Calibri"/>
                <w:b/>
                <w:color w:val="000000"/>
                <w:sz w:val="22"/>
                <w:szCs w:val="22"/>
              </w:rPr>
              <w:t xml:space="preserve"> </w:t>
            </w:r>
            <w:r w:rsidR="00234210">
              <w:rPr>
                <w:rFonts w:ascii="Calibri" w:hAnsi="Calibri" w:cs="Calibri"/>
                <w:b/>
                <w:color w:val="000000"/>
                <w:sz w:val="22"/>
                <w:szCs w:val="22"/>
              </w:rPr>
              <w:t>(</w:t>
            </w:r>
            <w:r w:rsidR="00A84122">
              <w:rPr>
                <w:rFonts w:ascii="Calibri" w:hAnsi="Calibri" w:cs="Calibri"/>
                <w:b/>
                <w:color w:val="000000"/>
                <w:sz w:val="22"/>
                <w:szCs w:val="22"/>
              </w:rPr>
              <w:t>RSA</w:t>
            </w:r>
            <w:r w:rsidR="00234210">
              <w:rPr>
                <w:rFonts w:ascii="Calibri" w:hAnsi="Calibri" w:cs="Calibri"/>
                <w:b/>
                <w:color w:val="000000"/>
                <w:sz w:val="22"/>
                <w:szCs w:val="22"/>
              </w:rPr>
              <w:t>)</w:t>
            </w:r>
            <w:r w:rsidR="0083655F">
              <w:rPr>
                <w:rStyle w:val="Fotnotsreferens"/>
                <w:rFonts w:ascii="Calibri" w:hAnsi="Calibri" w:cs="Calibri"/>
                <w:b/>
                <w:color w:val="000000"/>
                <w:sz w:val="22"/>
                <w:szCs w:val="22"/>
              </w:rPr>
              <w:footnoteReference w:id="20"/>
            </w:r>
          </w:p>
        </w:tc>
      </w:tr>
      <w:tr w:rsidR="00817943" w:rsidRPr="004563DF" w14:paraId="1B9B3AAE" w14:textId="77777777" w:rsidTr="008A3ECA">
        <w:tc>
          <w:tcPr>
            <w:tcW w:w="7360" w:type="dxa"/>
            <w:gridSpan w:val="2"/>
            <w:tcBorders>
              <w:top w:val="nil"/>
              <w:left w:val="nil"/>
              <w:bottom w:val="single" w:sz="4" w:space="0" w:color="auto"/>
              <w:right w:val="nil"/>
            </w:tcBorders>
            <w:shd w:val="clear" w:color="auto" w:fill="auto"/>
          </w:tcPr>
          <w:p w14:paraId="0DFB920C" w14:textId="5D0DE8BD" w:rsidR="0083655F" w:rsidRDefault="0009253C" w:rsidP="008A728D">
            <w:pPr>
              <w:rPr>
                <w:rFonts w:ascii="Calibri" w:hAnsi="Calibri" w:cs="Calibri"/>
                <w:color w:val="000000"/>
                <w:sz w:val="22"/>
                <w:szCs w:val="22"/>
              </w:rPr>
            </w:pPr>
            <w:r>
              <w:rPr>
                <w:rFonts w:ascii="Calibri" w:hAnsi="Calibri" w:cs="Calibri"/>
                <w:color w:val="000000"/>
                <w:sz w:val="22"/>
                <w:szCs w:val="22"/>
              </w:rPr>
              <w:t>Länsstyrelser med kust mot statligt vatten inkluderar fartygsolyckor</w:t>
            </w:r>
            <w:r w:rsidR="004E0842">
              <w:rPr>
                <w:rFonts w:ascii="Calibri" w:hAnsi="Calibri" w:cs="Calibri"/>
                <w:color w:val="000000"/>
                <w:sz w:val="22"/>
                <w:szCs w:val="22"/>
              </w:rPr>
              <w:t xml:space="preserve"> och utsläpp</w:t>
            </w:r>
            <w:r>
              <w:rPr>
                <w:rFonts w:ascii="Calibri" w:hAnsi="Calibri" w:cs="Calibri"/>
                <w:color w:val="000000"/>
                <w:sz w:val="22"/>
                <w:szCs w:val="22"/>
              </w:rPr>
              <w:t xml:space="preserve"> till sjöss som en risk i </w:t>
            </w:r>
            <w:r w:rsidR="0083655F">
              <w:rPr>
                <w:rFonts w:ascii="Calibri" w:hAnsi="Calibri" w:cs="Calibri"/>
                <w:color w:val="000000"/>
                <w:sz w:val="22"/>
                <w:szCs w:val="22"/>
              </w:rPr>
              <w:t>den regionala r</w:t>
            </w:r>
            <w:r>
              <w:rPr>
                <w:rFonts w:ascii="Calibri" w:hAnsi="Calibri" w:cs="Calibri"/>
                <w:color w:val="000000"/>
                <w:sz w:val="22"/>
                <w:szCs w:val="22"/>
              </w:rPr>
              <w:t>isk</w:t>
            </w:r>
            <w:r w:rsidR="002061BA">
              <w:rPr>
                <w:rFonts w:ascii="Calibri" w:hAnsi="Calibri" w:cs="Calibri"/>
                <w:color w:val="000000"/>
                <w:sz w:val="22"/>
                <w:szCs w:val="22"/>
              </w:rPr>
              <w:t>-</w:t>
            </w:r>
            <w:r>
              <w:rPr>
                <w:rFonts w:ascii="Calibri" w:hAnsi="Calibri" w:cs="Calibri"/>
                <w:color w:val="000000"/>
                <w:sz w:val="22"/>
                <w:szCs w:val="22"/>
              </w:rPr>
              <w:t xml:space="preserve"> och sårbarhetsanalys</w:t>
            </w:r>
            <w:r w:rsidR="0083655F">
              <w:rPr>
                <w:rFonts w:ascii="Calibri" w:hAnsi="Calibri" w:cs="Calibri"/>
                <w:color w:val="000000"/>
                <w:sz w:val="22"/>
                <w:szCs w:val="22"/>
              </w:rPr>
              <w:t>en</w:t>
            </w:r>
            <w:r>
              <w:rPr>
                <w:rFonts w:ascii="Calibri" w:hAnsi="Calibri" w:cs="Calibri"/>
                <w:color w:val="000000"/>
                <w:sz w:val="22"/>
                <w:szCs w:val="22"/>
              </w:rPr>
              <w:t xml:space="preserve">. </w:t>
            </w:r>
            <w:r w:rsidR="0083655F">
              <w:rPr>
                <w:rFonts w:ascii="Calibri" w:hAnsi="Calibri" w:cs="Calibri"/>
                <w:color w:val="000000"/>
                <w:sz w:val="22"/>
                <w:szCs w:val="22"/>
              </w:rPr>
              <w:t xml:space="preserve">Olyckornas omfattning är relevant i förhållande till den aktuella riskbilden i länet och speglar den trafik samt eventuell kustnära verksamhet som kan leda till föroreningsolyckor i havsmiljön eller de stora insjöarna. </w:t>
            </w:r>
          </w:p>
          <w:p w14:paraId="1FC31F79" w14:textId="0B291268" w:rsidR="0083655F" w:rsidRPr="008A728D" w:rsidRDefault="0083655F" w:rsidP="008A728D">
            <w:pPr>
              <w:rPr>
                <w:rFonts w:ascii="Calibri" w:hAnsi="Calibri" w:cs="Calibri"/>
                <w:color w:val="000000"/>
                <w:sz w:val="22"/>
                <w:szCs w:val="22"/>
              </w:rPr>
            </w:pPr>
          </w:p>
        </w:tc>
      </w:tr>
      <w:tr w:rsidR="0083655F" w:rsidRPr="004563DF" w14:paraId="0646812F" w14:textId="2483A7DA" w:rsidTr="0083655F">
        <w:tc>
          <w:tcPr>
            <w:tcW w:w="5330" w:type="dxa"/>
            <w:tcBorders>
              <w:top w:val="single" w:sz="4" w:space="0" w:color="auto"/>
              <w:left w:val="nil"/>
              <w:bottom w:val="nil"/>
              <w:right w:val="single" w:sz="4" w:space="0" w:color="auto"/>
            </w:tcBorders>
            <w:shd w:val="clear" w:color="auto" w:fill="F2DBDB" w:themeFill="accent2" w:themeFillTint="33"/>
          </w:tcPr>
          <w:p w14:paraId="5FFCF4C1" w14:textId="6FED29DE" w:rsidR="0083655F" w:rsidRPr="0083655F" w:rsidRDefault="0083655F" w:rsidP="0083655F">
            <w:pPr>
              <w:rPr>
                <w:rFonts w:ascii="Calibri" w:hAnsi="Calibri" w:cs="Calibri"/>
                <w:color w:val="000000"/>
              </w:rPr>
            </w:pPr>
            <w:r w:rsidRPr="000F2FCC">
              <w:rPr>
                <w:rFonts w:asciiTheme="minorHAnsi" w:hAnsiTheme="minorHAnsi" w:cstheme="minorHAnsi"/>
                <w:b/>
                <w:bCs/>
              </w:rPr>
              <w:t>Mätetal</w:t>
            </w:r>
          </w:p>
        </w:tc>
        <w:tc>
          <w:tcPr>
            <w:tcW w:w="2030" w:type="dxa"/>
            <w:tcBorders>
              <w:top w:val="single" w:sz="4" w:space="0" w:color="auto"/>
              <w:left w:val="single" w:sz="4" w:space="0" w:color="auto"/>
              <w:bottom w:val="nil"/>
              <w:right w:val="nil"/>
            </w:tcBorders>
            <w:shd w:val="clear" w:color="auto" w:fill="F2DBDB" w:themeFill="accent2" w:themeFillTint="33"/>
          </w:tcPr>
          <w:p w14:paraId="69CB1EF3" w14:textId="786C25A7" w:rsidR="0083655F" w:rsidRPr="0083655F" w:rsidRDefault="0083655F" w:rsidP="0083655F">
            <w:pPr>
              <w:rPr>
                <w:rFonts w:ascii="Calibri" w:hAnsi="Calibri" w:cs="Calibri"/>
                <w:color w:val="000000"/>
              </w:rPr>
            </w:pPr>
            <w:r w:rsidRPr="000F2FCC">
              <w:rPr>
                <w:rFonts w:asciiTheme="minorHAnsi" w:hAnsiTheme="minorHAnsi" w:cstheme="minorHAnsi"/>
                <w:b/>
                <w:bCs/>
              </w:rPr>
              <w:t xml:space="preserve">Uppföljning </w:t>
            </w:r>
            <w:r w:rsidRPr="0083655F">
              <w:rPr>
                <w:rFonts w:asciiTheme="minorHAnsi" w:hAnsiTheme="minorHAnsi" w:cstheme="minorHAnsi"/>
                <w:b/>
                <w:bCs/>
              </w:rPr>
              <w:t>genom</w:t>
            </w:r>
          </w:p>
        </w:tc>
      </w:tr>
      <w:tr w:rsidR="0083655F" w:rsidRPr="004563DF" w14:paraId="6630B4B5" w14:textId="13A5D8FA" w:rsidTr="008A3ECA">
        <w:trPr>
          <w:trHeight w:val="500"/>
        </w:trPr>
        <w:tc>
          <w:tcPr>
            <w:tcW w:w="5330" w:type="dxa"/>
            <w:tcBorders>
              <w:top w:val="nil"/>
              <w:left w:val="nil"/>
              <w:bottom w:val="single" w:sz="4" w:space="0" w:color="auto"/>
              <w:right w:val="single" w:sz="4" w:space="0" w:color="auto"/>
            </w:tcBorders>
            <w:shd w:val="clear" w:color="auto" w:fill="auto"/>
          </w:tcPr>
          <w:p w14:paraId="7F41B565" w14:textId="37A62420" w:rsidR="0083655F" w:rsidRPr="0083655F" w:rsidRDefault="0083655F" w:rsidP="0083655F">
            <w:pPr>
              <w:rPr>
                <w:rFonts w:ascii="Calibri" w:hAnsi="Calibri" w:cs="Calibri"/>
                <w:color w:val="000000"/>
              </w:rPr>
            </w:pPr>
            <w:r w:rsidRPr="0083655F">
              <w:rPr>
                <w:rFonts w:ascii="Calibri" w:hAnsi="Calibri" w:cs="Calibri"/>
                <w:color w:val="000000"/>
              </w:rPr>
              <w:t>Regional</w:t>
            </w:r>
            <w:r>
              <w:rPr>
                <w:rFonts w:ascii="Calibri" w:hAnsi="Calibri" w:cs="Calibri"/>
                <w:color w:val="000000"/>
              </w:rPr>
              <w:t>a</w:t>
            </w:r>
            <w:r w:rsidRPr="0083655F">
              <w:rPr>
                <w:rFonts w:ascii="Calibri" w:hAnsi="Calibri" w:cs="Calibri"/>
                <w:color w:val="000000"/>
              </w:rPr>
              <w:t xml:space="preserve"> risk- och sårbarhetsanalys</w:t>
            </w:r>
            <w:r>
              <w:rPr>
                <w:rFonts w:ascii="Calibri" w:hAnsi="Calibri" w:cs="Calibri"/>
                <w:color w:val="000000"/>
              </w:rPr>
              <w:t>er</w:t>
            </w:r>
            <w:r w:rsidRPr="0083655F">
              <w:rPr>
                <w:rFonts w:ascii="Calibri" w:hAnsi="Calibri" w:cs="Calibri"/>
                <w:color w:val="000000"/>
              </w:rPr>
              <w:t xml:space="preserve"> omfattar risken att drabbas av större utsläpp från sjöfarten</w:t>
            </w:r>
            <w:r>
              <w:rPr>
                <w:rFonts w:ascii="Calibri" w:hAnsi="Calibri" w:cs="Calibri"/>
                <w:color w:val="000000"/>
              </w:rPr>
              <w:t>.</w:t>
            </w:r>
          </w:p>
          <w:p w14:paraId="465C8395" w14:textId="7E095136" w:rsidR="0083655F" w:rsidRDefault="0083655F" w:rsidP="0083655F">
            <w:pPr>
              <w:rPr>
                <w:rFonts w:ascii="Calibri" w:hAnsi="Calibri" w:cs="Calibri"/>
                <w:b/>
                <w:bCs/>
                <w:color w:val="000000"/>
              </w:rPr>
            </w:pPr>
          </w:p>
        </w:tc>
        <w:tc>
          <w:tcPr>
            <w:tcW w:w="2030" w:type="dxa"/>
            <w:tcBorders>
              <w:top w:val="nil"/>
              <w:left w:val="single" w:sz="4" w:space="0" w:color="auto"/>
              <w:bottom w:val="single" w:sz="4" w:space="0" w:color="auto"/>
              <w:right w:val="nil"/>
            </w:tcBorders>
            <w:shd w:val="clear" w:color="auto" w:fill="auto"/>
          </w:tcPr>
          <w:p w14:paraId="5C81AC69" w14:textId="71D9DBA9" w:rsidR="0083655F" w:rsidRDefault="0083655F" w:rsidP="0083655F">
            <w:pPr>
              <w:rPr>
                <w:rFonts w:ascii="Calibri" w:hAnsi="Calibri" w:cs="Calibri"/>
                <w:b/>
                <w:bCs/>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tr w:rsidR="0083655F" w:rsidRPr="004563DF" w14:paraId="3E87992B" w14:textId="0B876A25" w:rsidTr="008A3ECA">
        <w:trPr>
          <w:trHeight w:val="720"/>
        </w:trPr>
        <w:tc>
          <w:tcPr>
            <w:tcW w:w="5330" w:type="dxa"/>
            <w:tcBorders>
              <w:top w:val="single" w:sz="4" w:space="0" w:color="auto"/>
              <w:left w:val="nil"/>
              <w:bottom w:val="single" w:sz="4" w:space="0" w:color="auto"/>
              <w:right w:val="single" w:sz="4" w:space="0" w:color="auto"/>
            </w:tcBorders>
            <w:shd w:val="clear" w:color="auto" w:fill="auto"/>
          </w:tcPr>
          <w:p w14:paraId="7FCFA703" w14:textId="3ED70769" w:rsidR="0083655F" w:rsidRDefault="0083655F" w:rsidP="0083655F">
            <w:pPr>
              <w:rPr>
                <w:rFonts w:ascii="Calibri" w:hAnsi="Calibri" w:cs="Calibri"/>
                <w:color w:val="000000"/>
              </w:rPr>
            </w:pPr>
            <w:r w:rsidRPr="0083655F">
              <w:rPr>
                <w:rFonts w:ascii="Calibri" w:hAnsi="Calibri" w:cs="Calibri"/>
                <w:color w:val="000000"/>
              </w:rPr>
              <w:t>Regional</w:t>
            </w:r>
            <w:r>
              <w:rPr>
                <w:rFonts w:ascii="Calibri" w:hAnsi="Calibri" w:cs="Calibri"/>
                <w:color w:val="000000"/>
              </w:rPr>
              <w:t>a</w:t>
            </w:r>
            <w:r w:rsidRPr="0083655F">
              <w:rPr>
                <w:rFonts w:ascii="Calibri" w:hAnsi="Calibri" w:cs="Calibri"/>
                <w:color w:val="000000"/>
              </w:rPr>
              <w:t xml:space="preserve"> risk- och sårbarhetsanalys</w:t>
            </w:r>
            <w:r>
              <w:rPr>
                <w:rFonts w:ascii="Calibri" w:hAnsi="Calibri" w:cs="Calibri"/>
                <w:color w:val="000000"/>
              </w:rPr>
              <w:t>er</w:t>
            </w:r>
            <w:r w:rsidRPr="0083655F">
              <w:rPr>
                <w:rFonts w:ascii="Calibri" w:hAnsi="Calibri" w:cs="Calibri"/>
                <w:color w:val="000000"/>
              </w:rPr>
              <w:t xml:space="preserve"> presenterar nivån av samverkan med andra aktörer, lokalt, regionalt, nationellt och internationellt</w:t>
            </w:r>
            <w:r>
              <w:rPr>
                <w:rFonts w:ascii="Calibri" w:hAnsi="Calibri" w:cs="Calibri"/>
                <w:color w:val="000000"/>
              </w:rPr>
              <w:t>.</w:t>
            </w:r>
          </w:p>
          <w:p w14:paraId="116082D3" w14:textId="12DE8DAA" w:rsidR="0083655F" w:rsidRPr="0083655F" w:rsidRDefault="0083655F" w:rsidP="0083655F">
            <w:pPr>
              <w:rPr>
                <w:rFonts w:ascii="Calibri" w:hAnsi="Calibri" w:cs="Calibri"/>
                <w:color w:val="000000"/>
              </w:rPr>
            </w:pPr>
          </w:p>
        </w:tc>
        <w:tc>
          <w:tcPr>
            <w:tcW w:w="2030" w:type="dxa"/>
            <w:tcBorders>
              <w:top w:val="single" w:sz="4" w:space="0" w:color="auto"/>
              <w:left w:val="single" w:sz="4" w:space="0" w:color="auto"/>
              <w:bottom w:val="single" w:sz="4" w:space="0" w:color="auto"/>
              <w:right w:val="nil"/>
            </w:tcBorders>
            <w:shd w:val="clear" w:color="auto" w:fill="auto"/>
          </w:tcPr>
          <w:p w14:paraId="64FFBD52" w14:textId="3872B09D" w:rsidR="0083655F" w:rsidRPr="0083655F" w:rsidRDefault="0083655F" w:rsidP="0083655F">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tr w:rsidR="0083655F" w:rsidRPr="004563DF" w14:paraId="18F87AD7" w14:textId="6DADB89A" w:rsidTr="008A3ECA">
        <w:trPr>
          <w:trHeight w:val="800"/>
        </w:trPr>
        <w:tc>
          <w:tcPr>
            <w:tcW w:w="5330" w:type="dxa"/>
            <w:tcBorders>
              <w:top w:val="single" w:sz="4" w:space="0" w:color="auto"/>
              <w:left w:val="nil"/>
              <w:bottom w:val="nil"/>
              <w:right w:val="single" w:sz="4" w:space="0" w:color="auto"/>
            </w:tcBorders>
            <w:shd w:val="clear" w:color="auto" w:fill="auto"/>
          </w:tcPr>
          <w:p w14:paraId="24FBB2E3" w14:textId="77777777" w:rsidR="0083655F" w:rsidRDefault="0083655F" w:rsidP="0083655F">
            <w:pPr>
              <w:rPr>
                <w:rFonts w:ascii="Calibri" w:hAnsi="Calibri" w:cs="Calibri"/>
                <w:color w:val="000000"/>
              </w:rPr>
            </w:pPr>
            <w:r>
              <w:rPr>
                <w:rFonts w:ascii="Calibri" w:hAnsi="Calibri" w:cs="Calibri"/>
                <w:color w:val="000000"/>
              </w:rPr>
              <w:t>Riskbild för oljeolyckor till sjöss i Sverige används som underlag för framtagande av r</w:t>
            </w:r>
            <w:r w:rsidRPr="0083655F">
              <w:rPr>
                <w:rFonts w:ascii="Calibri" w:hAnsi="Calibri" w:cs="Calibri"/>
                <w:color w:val="000000"/>
              </w:rPr>
              <w:t>egional</w:t>
            </w:r>
            <w:r>
              <w:rPr>
                <w:rFonts w:ascii="Calibri" w:hAnsi="Calibri" w:cs="Calibri"/>
                <w:color w:val="000000"/>
              </w:rPr>
              <w:t>a</w:t>
            </w:r>
            <w:r w:rsidRPr="0083655F">
              <w:rPr>
                <w:rFonts w:ascii="Calibri" w:hAnsi="Calibri" w:cs="Calibri"/>
                <w:color w:val="000000"/>
              </w:rPr>
              <w:t xml:space="preserve"> risk- och sårbarhetsanalys</w:t>
            </w:r>
            <w:r>
              <w:rPr>
                <w:rFonts w:ascii="Calibri" w:hAnsi="Calibri" w:cs="Calibri"/>
                <w:color w:val="000000"/>
              </w:rPr>
              <w:t xml:space="preserve">er. </w:t>
            </w:r>
          </w:p>
          <w:p w14:paraId="0DF206B8" w14:textId="43E78C3C" w:rsidR="00D41EE6" w:rsidRPr="0083655F" w:rsidRDefault="00D41EE6" w:rsidP="0083655F">
            <w:pPr>
              <w:rPr>
                <w:rFonts w:ascii="Calibri" w:hAnsi="Calibri" w:cs="Calibri"/>
                <w:color w:val="000000"/>
              </w:rPr>
            </w:pPr>
          </w:p>
        </w:tc>
        <w:tc>
          <w:tcPr>
            <w:tcW w:w="2030" w:type="dxa"/>
            <w:tcBorders>
              <w:top w:val="single" w:sz="4" w:space="0" w:color="auto"/>
              <w:left w:val="single" w:sz="4" w:space="0" w:color="auto"/>
              <w:bottom w:val="nil"/>
              <w:right w:val="nil"/>
            </w:tcBorders>
            <w:shd w:val="clear" w:color="auto" w:fill="auto"/>
          </w:tcPr>
          <w:p w14:paraId="3C8FCBEE" w14:textId="70CC9C22" w:rsidR="0083655F" w:rsidRPr="0083655F" w:rsidRDefault="0083655F" w:rsidP="0083655F">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bookmarkEnd w:id="16"/>
    </w:tbl>
    <w:p w14:paraId="2A51545B" w14:textId="2014E9A5" w:rsidR="00E33D52" w:rsidRDefault="00E33D52" w:rsidP="00F813E3">
      <w:pPr>
        <w:pStyle w:val="Brdtext"/>
      </w:pPr>
    </w:p>
    <w:p w14:paraId="5D54229A" w14:textId="77777777" w:rsidR="00E33D52" w:rsidRDefault="00E33D52">
      <w:pPr>
        <w:spacing w:line="240" w:lineRule="auto"/>
      </w:pPr>
      <w:r>
        <w:br w:type="page"/>
      </w:r>
    </w:p>
    <w:p w14:paraId="44C6F795" w14:textId="77777777" w:rsidR="006814C3" w:rsidRDefault="006814C3" w:rsidP="00F813E3">
      <w:pPr>
        <w:pStyle w:val="Brdtext"/>
      </w:pPr>
    </w:p>
    <w:tbl>
      <w:tblPr>
        <w:tblStyle w:val="Tabellrutnt"/>
        <w:tblW w:w="0" w:type="auto"/>
        <w:tblLook w:val="04A0" w:firstRow="1" w:lastRow="0" w:firstColumn="1" w:lastColumn="0" w:noHBand="0" w:noVBand="1"/>
      </w:tblPr>
      <w:tblGrid>
        <w:gridCol w:w="5370"/>
        <w:gridCol w:w="2000"/>
      </w:tblGrid>
      <w:tr w:rsidR="006814C3" w:rsidRPr="004563DF" w14:paraId="28C1E30B" w14:textId="77777777" w:rsidTr="00D41EE6">
        <w:tc>
          <w:tcPr>
            <w:tcW w:w="7370" w:type="dxa"/>
            <w:gridSpan w:val="2"/>
            <w:tcBorders>
              <w:top w:val="nil"/>
              <w:left w:val="nil"/>
              <w:bottom w:val="nil"/>
              <w:right w:val="nil"/>
            </w:tcBorders>
            <w:shd w:val="clear" w:color="auto" w:fill="DB4B32"/>
          </w:tcPr>
          <w:p w14:paraId="4221E102" w14:textId="7CD860C2" w:rsidR="006814C3" w:rsidRPr="008A728D" w:rsidRDefault="00782BA6" w:rsidP="00D41EE6">
            <w:pPr>
              <w:pStyle w:val="Brdtext"/>
              <w:numPr>
                <w:ilvl w:val="0"/>
                <w:numId w:val="85"/>
              </w:numPr>
              <w:rPr>
                <w:rFonts w:ascii="Calibri" w:hAnsi="Calibri" w:cs="Calibri"/>
                <w:b/>
                <w:color w:val="000000"/>
              </w:rPr>
            </w:pPr>
            <w:r w:rsidRPr="00233D24">
              <w:rPr>
                <w:rFonts w:ascii="Calibri" w:hAnsi="Calibri" w:cs="Calibri"/>
                <w:b/>
                <w:color w:val="000000"/>
                <w:sz w:val="22"/>
                <w:szCs w:val="22"/>
              </w:rPr>
              <w:t>Förvaltning av</w:t>
            </w:r>
            <w:r w:rsidR="006814C3" w:rsidRPr="00233D24">
              <w:rPr>
                <w:rFonts w:ascii="Calibri" w:hAnsi="Calibri" w:cs="Calibri"/>
                <w:b/>
                <w:color w:val="000000"/>
                <w:sz w:val="22"/>
                <w:szCs w:val="22"/>
              </w:rPr>
              <w:t xml:space="preserve"> Digital Miljöatlas</w:t>
            </w:r>
            <w:r w:rsidR="00D41EE6">
              <w:rPr>
                <w:rStyle w:val="Fotnotsreferens"/>
                <w:rFonts w:ascii="Calibri" w:hAnsi="Calibri" w:cs="Calibri"/>
                <w:b/>
                <w:color w:val="000000"/>
                <w:sz w:val="22"/>
                <w:szCs w:val="22"/>
              </w:rPr>
              <w:footnoteReference w:id="21"/>
            </w:r>
          </w:p>
        </w:tc>
      </w:tr>
      <w:tr w:rsidR="006814C3" w:rsidRPr="004563DF" w14:paraId="612CC403" w14:textId="77777777" w:rsidTr="008A3ECA">
        <w:tc>
          <w:tcPr>
            <w:tcW w:w="7370" w:type="dxa"/>
            <w:gridSpan w:val="2"/>
            <w:tcBorders>
              <w:top w:val="nil"/>
              <w:left w:val="nil"/>
              <w:bottom w:val="nil"/>
              <w:right w:val="nil"/>
            </w:tcBorders>
            <w:shd w:val="clear" w:color="auto" w:fill="auto"/>
            <w:vAlign w:val="center"/>
          </w:tcPr>
          <w:p w14:paraId="10C5098C" w14:textId="1524237B" w:rsidR="00644658" w:rsidRDefault="00644658" w:rsidP="00DE7155">
            <w:pPr>
              <w:rPr>
                <w:rFonts w:ascii="Calibri" w:hAnsi="Calibri" w:cs="Calibri"/>
                <w:color w:val="000000"/>
              </w:rPr>
            </w:pPr>
            <w:r>
              <w:rPr>
                <w:rFonts w:ascii="Calibri" w:hAnsi="Calibri" w:cs="Calibri"/>
                <w:color w:val="000000"/>
              </w:rPr>
              <w:t xml:space="preserve">En hållbar förvaltning av </w:t>
            </w:r>
            <w:r w:rsidRPr="00D41EE6">
              <w:rPr>
                <w:rFonts w:ascii="Calibri" w:hAnsi="Calibri" w:cs="Calibri"/>
                <w:color w:val="000000"/>
              </w:rPr>
              <w:t>Digital Miljöatlas</w:t>
            </w:r>
            <w:r>
              <w:rPr>
                <w:rFonts w:ascii="Calibri" w:hAnsi="Calibri" w:cs="Calibri"/>
                <w:color w:val="000000"/>
              </w:rPr>
              <w:t xml:space="preserve"> säkerställs av </w:t>
            </w:r>
            <w:r w:rsidR="009515A8">
              <w:rPr>
                <w:rFonts w:ascii="Calibri" w:hAnsi="Calibri" w:cs="Calibri"/>
                <w:color w:val="000000"/>
              </w:rPr>
              <w:t>l</w:t>
            </w:r>
            <w:r>
              <w:rPr>
                <w:rFonts w:ascii="Calibri" w:hAnsi="Calibri" w:cs="Calibri"/>
                <w:color w:val="000000"/>
              </w:rPr>
              <w:t xml:space="preserve">änsstyrelsen. </w:t>
            </w:r>
          </w:p>
          <w:p w14:paraId="39768860" w14:textId="77777777" w:rsidR="00644658" w:rsidRDefault="00644658" w:rsidP="00DE7155">
            <w:pPr>
              <w:rPr>
                <w:rFonts w:ascii="Calibri" w:hAnsi="Calibri" w:cs="Calibri"/>
                <w:color w:val="000000"/>
              </w:rPr>
            </w:pPr>
          </w:p>
          <w:p w14:paraId="15703949" w14:textId="663B36A8" w:rsidR="006814C3" w:rsidRDefault="006814C3" w:rsidP="00DE7155">
            <w:pPr>
              <w:rPr>
                <w:rFonts w:ascii="Calibri" w:hAnsi="Calibri" w:cs="Calibri"/>
                <w:color w:val="000000"/>
              </w:rPr>
            </w:pPr>
            <w:r w:rsidRPr="00232C9B">
              <w:rPr>
                <w:rFonts w:ascii="Calibri" w:hAnsi="Calibri" w:cs="Calibri"/>
                <w:color w:val="000000"/>
              </w:rPr>
              <w:t xml:space="preserve">Länsstyrelserna fortsätter att uppdatera regionala prioriterade, skyddsvärda områden i Digital Miljöatlas </w:t>
            </w:r>
            <w:r w:rsidR="007B421B" w:rsidRPr="00232C9B">
              <w:rPr>
                <w:rFonts w:ascii="Calibri" w:hAnsi="Calibri" w:cs="Calibri"/>
                <w:color w:val="000000"/>
              </w:rPr>
              <w:t>och ger tydliga instruktioner till kommunerna så att de kan bidra med adekvat underlag.</w:t>
            </w:r>
            <w:r w:rsidR="00644658">
              <w:rPr>
                <w:rFonts w:ascii="Calibri" w:hAnsi="Calibri" w:cs="Calibri"/>
                <w:color w:val="000000"/>
              </w:rPr>
              <w:t xml:space="preserve"> </w:t>
            </w:r>
          </w:p>
          <w:p w14:paraId="1554617D" w14:textId="3071B66D" w:rsidR="00D41EE6" w:rsidRPr="004563DF" w:rsidRDefault="00D41EE6" w:rsidP="00DE7155">
            <w:pPr>
              <w:rPr>
                <w:rFonts w:ascii="Calibri" w:hAnsi="Calibri" w:cs="Calibri"/>
                <w:color w:val="000000"/>
                <w:sz w:val="22"/>
                <w:szCs w:val="22"/>
              </w:rPr>
            </w:pPr>
          </w:p>
        </w:tc>
      </w:tr>
      <w:tr w:rsidR="00D41EE6" w:rsidRPr="004563DF" w14:paraId="587B3569" w14:textId="189F0813" w:rsidTr="00D41EE6">
        <w:trPr>
          <w:trHeight w:val="610"/>
        </w:trPr>
        <w:tc>
          <w:tcPr>
            <w:tcW w:w="5370" w:type="dxa"/>
            <w:tcBorders>
              <w:top w:val="nil"/>
              <w:left w:val="nil"/>
              <w:bottom w:val="single" w:sz="4" w:space="0" w:color="auto"/>
              <w:right w:val="single" w:sz="4" w:space="0" w:color="auto"/>
            </w:tcBorders>
            <w:shd w:val="clear" w:color="auto" w:fill="F2DBDB" w:themeFill="accent2" w:themeFillTint="33"/>
          </w:tcPr>
          <w:p w14:paraId="526DC714" w14:textId="5CC819AA" w:rsidR="00D41EE6" w:rsidRPr="00D41EE6" w:rsidRDefault="00D41EE6" w:rsidP="00D41EE6">
            <w:pPr>
              <w:rPr>
                <w:rFonts w:ascii="Calibri" w:hAnsi="Calibri" w:cs="Calibri"/>
                <w:color w:val="000000"/>
              </w:rPr>
            </w:pPr>
            <w:r w:rsidRPr="000F2FCC">
              <w:rPr>
                <w:rFonts w:asciiTheme="minorHAnsi" w:hAnsiTheme="minorHAnsi" w:cstheme="minorHAnsi"/>
                <w:b/>
                <w:bCs/>
              </w:rPr>
              <w:t>Mätetal</w:t>
            </w:r>
          </w:p>
        </w:tc>
        <w:tc>
          <w:tcPr>
            <w:tcW w:w="2000" w:type="dxa"/>
            <w:tcBorders>
              <w:top w:val="nil"/>
              <w:left w:val="single" w:sz="4" w:space="0" w:color="auto"/>
              <w:bottom w:val="single" w:sz="4" w:space="0" w:color="auto"/>
              <w:right w:val="nil"/>
            </w:tcBorders>
            <w:shd w:val="clear" w:color="auto" w:fill="F2DBDB" w:themeFill="accent2" w:themeFillTint="33"/>
          </w:tcPr>
          <w:p w14:paraId="28057C2C" w14:textId="038D6B26" w:rsidR="00D41EE6" w:rsidRPr="00D41EE6" w:rsidRDefault="00D41EE6" w:rsidP="00D41EE6">
            <w:pPr>
              <w:rPr>
                <w:rFonts w:ascii="Calibri" w:hAnsi="Calibri" w:cs="Calibri"/>
                <w:color w:val="000000"/>
              </w:rPr>
            </w:pPr>
            <w:r w:rsidRPr="000F2FCC">
              <w:rPr>
                <w:rFonts w:asciiTheme="minorHAnsi" w:hAnsiTheme="minorHAnsi" w:cstheme="minorHAnsi"/>
                <w:b/>
                <w:bCs/>
              </w:rPr>
              <w:t xml:space="preserve">Uppföljning </w:t>
            </w:r>
            <w:r w:rsidRPr="0083655F">
              <w:rPr>
                <w:rFonts w:asciiTheme="minorHAnsi" w:hAnsiTheme="minorHAnsi" w:cstheme="minorHAnsi"/>
                <w:b/>
                <w:bCs/>
              </w:rPr>
              <w:t>genom</w:t>
            </w:r>
          </w:p>
        </w:tc>
      </w:tr>
      <w:tr w:rsidR="00D41EE6" w:rsidRPr="004563DF" w14:paraId="05D6062B" w14:textId="4D47C1B0" w:rsidTr="008A3ECA">
        <w:trPr>
          <w:trHeight w:val="636"/>
        </w:trPr>
        <w:tc>
          <w:tcPr>
            <w:tcW w:w="5370" w:type="dxa"/>
            <w:tcBorders>
              <w:top w:val="single" w:sz="4" w:space="0" w:color="auto"/>
              <w:left w:val="nil"/>
              <w:bottom w:val="single" w:sz="4" w:space="0" w:color="auto"/>
              <w:right w:val="single" w:sz="4" w:space="0" w:color="auto"/>
            </w:tcBorders>
            <w:shd w:val="clear" w:color="auto" w:fill="auto"/>
          </w:tcPr>
          <w:p w14:paraId="155D3C3D" w14:textId="1E599C9E" w:rsidR="00D41EE6" w:rsidRPr="00D41EE6" w:rsidRDefault="00D41EE6" w:rsidP="00D41EE6">
            <w:pPr>
              <w:rPr>
                <w:rFonts w:ascii="Calibri" w:hAnsi="Calibri" w:cs="Calibri"/>
                <w:color w:val="000000"/>
              </w:rPr>
            </w:pPr>
            <w:r w:rsidRPr="00D41EE6">
              <w:rPr>
                <w:rFonts w:ascii="Calibri" w:hAnsi="Calibri" w:cs="Calibri"/>
                <w:color w:val="000000"/>
              </w:rPr>
              <w:t>Avtal och finansiering för Digital Miljöatlas är framtagen</w:t>
            </w:r>
            <w:r w:rsidR="0094200E">
              <w:rPr>
                <w:rFonts w:ascii="Calibri" w:hAnsi="Calibri" w:cs="Calibri"/>
                <w:color w:val="000000"/>
              </w:rPr>
              <w:t>.</w:t>
            </w:r>
          </w:p>
          <w:p w14:paraId="1F89D5A6" w14:textId="387185FB" w:rsidR="00D41EE6" w:rsidRPr="00D41EE6" w:rsidRDefault="00D41EE6" w:rsidP="00D41EE6">
            <w:pPr>
              <w:rPr>
                <w:rFonts w:cstheme="minorHAnsi"/>
                <w:b/>
                <w:bCs/>
              </w:rPr>
            </w:pPr>
          </w:p>
        </w:tc>
        <w:tc>
          <w:tcPr>
            <w:tcW w:w="2000" w:type="dxa"/>
            <w:tcBorders>
              <w:top w:val="single" w:sz="4" w:space="0" w:color="auto"/>
              <w:left w:val="single" w:sz="4" w:space="0" w:color="auto"/>
              <w:bottom w:val="single" w:sz="4" w:space="0" w:color="auto"/>
              <w:right w:val="nil"/>
            </w:tcBorders>
            <w:shd w:val="clear" w:color="auto" w:fill="auto"/>
          </w:tcPr>
          <w:p w14:paraId="54DE653D" w14:textId="296B28DD" w:rsidR="00D41EE6" w:rsidRPr="00D41EE6" w:rsidRDefault="00D41EE6" w:rsidP="00D41EE6">
            <w:pPr>
              <w:rPr>
                <w:rFonts w:cstheme="minorHAnsi"/>
                <w:b/>
                <w:bCs/>
              </w:rPr>
            </w:pPr>
            <w:r w:rsidRPr="00D41EE6">
              <w:rPr>
                <w:rFonts w:ascii="Calibri" w:hAnsi="Calibri" w:cs="Calibri"/>
                <w:color w:val="000000"/>
              </w:rPr>
              <w:t>NSO</w:t>
            </w:r>
          </w:p>
        </w:tc>
      </w:tr>
      <w:tr w:rsidR="00D41EE6" w:rsidRPr="004563DF" w14:paraId="7A74DF4F" w14:textId="77777777" w:rsidTr="008A3ECA">
        <w:trPr>
          <w:trHeight w:val="600"/>
        </w:trPr>
        <w:tc>
          <w:tcPr>
            <w:tcW w:w="5370" w:type="dxa"/>
            <w:tcBorders>
              <w:top w:val="single" w:sz="4" w:space="0" w:color="auto"/>
              <w:left w:val="nil"/>
              <w:bottom w:val="single" w:sz="4" w:space="0" w:color="auto"/>
              <w:right w:val="single" w:sz="4" w:space="0" w:color="auto"/>
            </w:tcBorders>
            <w:shd w:val="clear" w:color="auto" w:fill="auto"/>
          </w:tcPr>
          <w:p w14:paraId="762DB13E" w14:textId="2E1608BA" w:rsidR="00D41EE6" w:rsidRPr="00D41EE6" w:rsidRDefault="00D41EE6" w:rsidP="00D41EE6">
            <w:pPr>
              <w:rPr>
                <w:rFonts w:ascii="Calibri" w:hAnsi="Calibri" w:cs="Calibri"/>
                <w:color w:val="000000"/>
              </w:rPr>
            </w:pPr>
            <w:r w:rsidRPr="00D41EE6">
              <w:rPr>
                <w:rFonts w:ascii="Calibri" w:hAnsi="Calibri" w:cs="Calibri"/>
                <w:color w:val="000000"/>
              </w:rPr>
              <w:t>Framtagen riktlinje för användning och uppdatering av Digital Miljöatlas</w:t>
            </w:r>
            <w:r w:rsidR="0094200E">
              <w:rPr>
                <w:rFonts w:ascii="Calibri" w:hAnsi="Calibri" w:cs="Calibri"/>
                <w:color w:val="000000"/>
              </w:rPr>
              <w:t>.</w:t>
            </w:r>
            <w:r w:rsidRPr="00D41EE6">
              <w:rPr>
                <w:rFonts w:ascii="Calibri" w:hAnsi="Calibri" w:cs="Calibri"/>
                <w:color w:val="000000"/>
              </w:rPr>
              <w:t xml:space="preserve"> </w:t>
            </w:r>
          </w:p>
          <w:p w14:paraId="2389C467" w14:textId="25D8E6C1" w:rsidR="00D41EE6" w:rsidRDefault="00D41EE6" w:rsidP="00D41EE6">
            <w:pPr>
              <w:ind w:left="360"/>
              <w:rPr>
                <w:rFonts w:ascii="Calibri" w:hAnsi="Calibri" w:cs="Calibri"/>
                <w:color w:val="000000"/>
              </w:rPr>
            </w:pPr>
          </w:p>
        </w:tc>
        <w:tc>
          <w:tcPr>
            <w:tcW w:w="2000" w:type="dxa"/>
            <w:tcBorders>
              <w:top w:val="single" w:sz="4" w:space="0" w:color="auto"/>
              <w:left w:val="single" w:sz="4" w:space="0" w:color="auto"/>
              <w:bottom w:val="single" w:sz="4" w:space="0" w:color="auto"/>
              <w:right w:val="nil"/>
            </w:tcBorders>
            <w:shd w:val="clear" w:color="auto" w:fill="auto"/>
          </w:tcPr>
          <w:p w14:paraId="774057CA" w14:textId="76470AF6" w:rsidR="00D41EE6" w:rsidRDefault="00D41EE6">
            <w:pPr>
              <w:spacing w:line="240" w:lineRule="auto"/>
              <w:rPr>
                <w:rFonts w:asciiTheme="minorHAnsi" w:eastAsiaTheme="minorHAnsi" w:hAnsiTheme="minorHAnsi" w:cstheme="minorHAnsi"/>
                <w:b/>
                <w:bCs/>
                <w:sz w:val="22"/>
                <w:szCs w:val="22"/>
                <w:lang w:eastAsia="en-US"/>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tr w:rsidR="00D41EE6" w:rsidRPr="004563DF" w14:paraId="655E3BC2" w14:textId="77777777" w:rsidTr="008A3ECA">
        <w:trPr>
          <w:trHeight w:val="260"/>
        </w:trPr>
        <w:tc>
          <w:tcPr>
            <w:tcW w:w="5370" w:type="dxa"/>
            <w:tcBorders>
              <w:top w:val="single" w:sz="4" w:space="0" w:color="auto"/>
              <w:left w:val="nil"/>
              <w:bottom w:val="single" w:sz="4" w:space="0" w:color="auto"/>
              <w:right w:val="single" w:sz="4" w:space="0" w:color="auto"/>
            </w:tcBorders>
            <w:shd w:val="clear" w:color="auto" w:fill="auto"/>
          </w:tcPr>
          <w:p w14:paraId="26D65060" w14:textId="7EFC3F51" w:rsidR="00D41EE6" w:rsidRPr="00D41EE6" w:rsidRDefault="00D41EE6" w:rsidP="00D41EE6">
            <w:pPr>
              <w:rPr>
                <w:rFonts w:ascii="Calibri" w:hAnsi="Calibri" w:cs="Calibri"/>
                <w:color w:val="000000"/>
              </w:rPr>
            </w:pPr>
            <w:r w:rsidRPr="00D41EE6">
              <w:rPr>
                <w:rFonts w:ascii="Calibri" w:hAnsi="Calibri" w:cs="Calibri"/>
                <w:color w:val="000000"/>
              </w:rPr>
              <w:t>Samtliga regioner använder Digital Miljöatlas</w:t>
            </w:r>
            <w:r w:rsidR="0094200E">
              <w:rPr>
                <w:rFonts w:ascii="Calibri" w:hAnsi="Calibri" w:cs="Calibri"/>
                <w:color w:val="000000"/>
              </w:rPr>
              <w:t>.</w:t>
            </w:r>
            <w:r w:rsidR="00644658">
              <w:rPr>
                <w:rFonts w:ascii="Calibri" w:hAnsi="Calibri" w:cs="Calibri"/>
                <w:color w:val="000000"/>
              </w:rPr>
              <w:t xml:space="preserve"> </w:t>
            </w:r>
          </w:p>
        </w:tc>
        <w:tc>
          <w:tcPr>
            <w:tcW w:w="2000" w:type="dxa"/>
            <w:tcBorders>
              <w:top w:val="single" w:sz="4" w:space="0" w:color="auto"/>
              <w:left w:val="single" w:sz="4" w:space="0" w:color="auto"/>
              <w:bottom w:val="single" w:sz="4" w:space="0" w:color="auto"/>
              <w:right w:val="nil"/>
            </w:tcBorders>
            <w:shd w:val="clear" w:color="auto" w:fill="auto"/>
          </w:tcPr>
          <w:p w14:paraId="06D64693" w14:textId="23AE8689" w:rsidR="00D41EE6" w:rsidRPr="00D41EE6" w:rsidRDefault="00D41EE6" w:rsidP="00D41EE6">
            <w:pPr>
              <w:spacing w:line="240" w:lineRule="auto"/>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tr w:rsidR="00D41EE6" w:rsidRPr="004563DF" w14:paraId="557B1F4A" w14:textId="77777777" w:rsidTr="008A3ECA">
        <w:trPr>
          <w:trHeight w:val="630"/>
        </w:trPr>
        <w:tc>
          <w:tcPr>
            <w:tcW w:w="5370" w:type="dxa"/>
            <w:tcBorders>
              <w:top w:val="single" w:sz="4" w:space="0" w:color="auto"/>
              <w:left w:val="nil"/>
              <w:bottom w:val="single" w:sz="4" w:space="0" w:color="auto"/>
              <w:right w:val="single" w:sz="4" w:space="0" w:color="auto"/>
            </w:tcBorders>
            <w:shd w:val="clear" w:color="auto" w:fill="auto"/>
          </w:tcPr>
          <w:p w14:paraId="56067006" w14:textId="6BF05BBC" w:rsidR="00D41EE6" w:rsidRPr="00D41EE6" w:rsidRDefault="00D41EE6" w:rsidP="00644658">
            <w:pPr>
              <w:rPr>
                <w:rFonts w:ascii="Calibri" w:hAnsi="Calibri" w:cs="Calibri"/>
                <w:color w:val="000000"/>
              </w:rPr>
            </w:pPr>
            <w:r w:rsidRPr="00D41EE6">
              <w:rPr>
                <w:rFonts w:ascii="Calibri" w:hAnsi="Calibri" w:cs="Calibri"/>
                <w:color w:val="000000"/>
              </w:rPr>
              <w:t>Samtliga regioner gör översyn av Digital Miljöatlas var</w:t>
            </w:r>
            <w:r w:rsidR="0094200E">
              <w:rPr>
                <w:rFonts w:ascii="Calibri" w:hAnsi="Calibri" w:cs="Calibri"/>
                <w:color w:val="000000"/>
              </w:rPr>
              <w:t>t</w:t>
            </w:r>
            <w:r w:rsidRPr="00D41EE6">
              <w:rPr>
                <w:rFonts w:ascii="Calibri" w:hAnsi="Calibri" w:cs="Calibri"/>
                <w:color w:val="000000"/>
              </w:rPr>
              <w:t xml:space="preserve"> fjärde år</w:t>
            </w:r>
            <w:r w:rsidR="0094200E">
              <w:rPr>
                <w:rFonts w:ascii="Calibri" w:hAnsi="Calibri" w:cs="Calibri"/>
                <w:color w:val="000000"/>
              </w:rPr>
              <w:t>.</w:t>
            </w:r>
          </w:p>
        </w:tc>
        <w:tc>
          <w:tcPr>
            <w:tcW w:w="2000" w:type="dxa"/>
            <w:tcBorders>
              <w:top w:val="single" w:sz="4" w:space="0" w:color="auto"/>
              <w:left w:val="single" w:sz="4" w:space="0" w:color="auto"/>
              <w:bottom w:val="single" w:sz="4" w:space="0" w:color="auto"/>
              <w:right w:val="nil"/>
            </w:tcBorders>
            <w:shd w:val="clear" w:color="auto" w:fill="auto"/>
          </w:tcPr>
          <w:p w14:paraId="5004714B" w14:textId="26E1898D" w:rsidR="00D41EE6" w:rsidRDefault="00D41EE6" w:rsidP="00644658">
            <w:pPr>
              <w:rPr>
                <w:rFonts w:asciiTheme="minorHAnsi" w:eastAsiaTheme="minorHAnsi" w:hAnsiTheme="minorHAnsi" w:cstheme="minorHAnsi"/>
                <w:b/>
                <w:bCs/>
                <w:sz w:val="22"/>
                <w:szCs w:val="22"/>
                <w:lang w:eastAsia="en-US"/>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tr w:rsidR="00D41EE6" w:rsidRPr="004563DF" w14:paraId="266A0409" w14:textId="77777777" w:rsidTr="008A3ECA">
        <w:trPr>
          <w:trHeight w:val="920"/>
        </w:trPr>
        <w:tc>
          <w:tcPr>
            <w:tcW w:w="5370" w:type="dxa"/>
            <w:tcBorders>
              <w:top w:val="single" w:sz="4" w:space="0" w:color="auto"/>
              <w:left w:val="nil"/>
              <w:bottom w:val="nil"/>
              <w:right w:val="single" w:sz="4" w:space="0" w:color="auto"/>
            </w:tcBorders>
            <w:shd w:val="clear" w:color="auto" w:fill="auto"/>
          </w:tcPr>
          <w:p w14:paraId="2662F2F8" w14:textId="083B747C" w:rsidR="00D41EE6" w:rsidRPr="00D41EE6" w:rsidRDefault="00D41EE6" w:rsidP="00D41EE6">
            <w:pPr>
              <w:rPr>
                <w:rFonts w:ascii="Calibri" w:hAnsi="Calibri" w:cs="Calibri"/>
                <w:color w:val="000000"/>
              </w:rPr>
            </w:pPr>
            <w:r w:rsidRPr="00D41EE6">
              <w:rPr>
                <w:rFonts w:ascii="Calibri" w:hAnsi="Calibri" w:cs="Calibri"/>
                <w:color w:val="000000"/>
              </w:rPr>
              <w:t>Samtliga regioner uppdaterar skyddsvärda områden efter behov</w:t>
            </w:r>
            <w:r w:rsidR="0094200E">
              <w:rPr>
                <w:rFonts w:ascii="Calibri" w:hAnsi="Calibri" w:cs="Calibri"/>
                <w:color w:val="000000"/>
              </w:rPr>
              <w:t>.</w:t>
            </w:r>
            <w:r w:rsidRPr="00D41EE6">
              <w:rPr>
                <w:rFonts w:ascii="Calibri" w:hAnsi="Calibri" w:cs="Calibri"/>
                <w:color w:val="000000"/>
              </w:rPr>
              <w:t xml:space="preserve"> </w:t>
            </w:r>
          </w:p>
        </w:tc>
        <w:tc>
          <w:tcPr>
            <w:tcW w:w="2000" w:type="dxa"/>
            <w:tcBorders>
              <w:top w:val="single" w:sz="4" w:space="0" w:color="auto"/>
              <w:left w:val="single" w:sz="4" w:space="0" w:color="auto"/>
              <w:bottom w:val="nil"/>
              <w:right w:val="nil"/>
            </w:tcBorders>
            <w:shd w:val="clear" w:color="auto" w:fill="auto"/>
          </w:tcPr>
          <w:p w14:paraId="3D0FE8FD" w14:textId="343C7446" w:rsidR="00D41EE6" w:rsidRDefault="00D41EE6" w:rsidP="00644658">
            <w:pPr>
              <w:rPr>
                <w:rFonts w:asciiTheme="minorHAnsi" w:eastAsiaTheme="minorHAnsi" w:hAnsiTheme="minorHAnsi" w:cstheme="minorHAnsi"/>
                <w:b/>
                <w:bCs/>
                <w:sz w:val="22"/>
                <w:szCs w:val="22"/>
                <w:lang w:eastAsia="en-US"/>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tbl>
    <w:p w14:paraId="4ED0FA5F" w14:textId="24C06DD4" w:rsidR="00D41EE6" w:rsidRDefault="00D41EE6" w:rsidP="00F813E3">
      <w:pPr>
        <w:pStyle w:val="Brdtext"/>
      </w:pPr>
    </w:p>
    <w:p w14:paraId="054226A0" w14:textId="77777777" w:rsidR="00D41EE6" w:rsidRDefault="00D41EE6">
      <w:pPr>
        <w:spacing w:line="240" w:lineRule="auto"/>
      </w:pPr>
      <w:r>
        <w:br w:type="page"/>
      </w:r>
    </w:p>
    <w:tbl>
      <w:tblPr>
        <w:tblStyle w:val="Tabellrutnt"/>
        <w:tblW w:w="0" w:type="auto"/>
        <w:tblLook w:val="04A0" w:firstRow="1" w:lastRow="0" w:firstColumn="1" w:lastColumn="0" w:noHBand="0" w:noVBand="1"/>
      </w:tblPr>
      <w:tblGrid>
        <w:gridCol w:w="5373"/>
        <w:gridCol w:w="1997"/>
      </w:tblGrid>
      <w:tr w:rsidR="000A1F49" w:rsidRPr="004563DF" w14:paraId="006EB654" w14:textId="77777777" w:rsidTr="00D41EE6">
        <w:tc>
          <w:tcPr>
            <w:tcW w:w="7370" w:type="dxa"/>
            <w:gridSpan w:val="2"/>
            <w:tcBorders>
              <w:top w:val="nil"/>
              <w:left w:val="nil"/>
              <w:bottom w:val="nil"/>
              <w:right w:val="nil"/>
            </w:tcBorders>
            <w:shd w:val="clear" w:color="auto" w:fill="DB4B32"/>
          </w:tcPr>
          <w:p w14:paraId="4833A5DC" w14:textId="075F8DDF" w:rsidR="000A1F49" w:rsidRPr="008A728D" w:rsidRDefault="00145B94" w:rsidP="008A728D">
            <w:pPr>
              <w:pStyle w:val="Liststycke"/>
              <w:numPr>
                <w:ilvl w:val="0"/>
                <w:numId w:val="85"/>
              </w:numPr>
              <w:rPr>
                <w:b/>
                <w:bCs/>
              </w:rPr>
            </w:pPr>
            <w:r>
              <w:rPr>
                <w:b/>
                <w:bCs/>
              </w:rPr>
              <w:lastRenderedPageBreak/>
              <w:t>Regional o</w:t>
            </w:r>
            <w:r w:rsidR="000A1F49" w:rsidRPr="008A728D">
              <w:rPr>
                <w:b/>
                <w:bCs/>
              </w:rPr>
              <w:t>ljeskyddsplanering</w:t>
            </w:r>
            <w:r w:rsidR="00D41EE6">
              <w:rPr>
                <w:rStyle w:val="Fotnotsreferens"/>
                <w:b/>
                <w:bCs/>
              </w:rPr>
              <w:footnoteReference w:id="22"/>
            </w:r>
          </w:p>
        </w:tc>
      </w:tr>
      <w:tr w:rsidR="000A1F49" w:rsidRPr="004563DF" w14:paraId="0F69C522" w14:textId="77777777" w:rsidTr="008A3ECA">
        <w:tc>
          <w:tcPr>
            <w:tcW w:w="7370" w:type="dxa"/>
            <w:gridSpan w:val="2"/>
            <w:tcBorders>
              <w:top w:val="nil"/>
              <w:left w:val="nil"/>
              <w:bottom w:val="nil"/>
              <w:right w:val="nil"/>
            </w:tcBorders>
            <w:shd w:val="clear" w:color="auto" w:fill="auto"/>
            <w:vAlign w:val="center"/>
          </w:tcPr>
          <w:p w14:paraId="778F0A11" w14:textId="77777777" w:rsidR="000A1F49" w:rsidRDefault="000A1F49" w:rsidP="00F21B5B">
            <w:pPr>
              <w:rPr>
                <w:rFonts w:ascii="Calibri" w:hAnsi="Calibri" w:cs="Calibri"/>
                <w:color w:val="000000"/>
                <w:sz w:val="22"/>
                <w:szCs w:val="22"/>
              </w:rPr>
            </w:pPr>
            <w:r w:rsidRPr="004563DF">
              <w:rPr>
                <w:rFonts w:ascii="Calibri" w:hAnsi="Calibri" w:cs="Calibri"/>
                <w:color w:val="000000"/>
                <w:sz w:val="22"/>
                <w:szCs w:val="22"/>
              </w:rPr>
              <w:t>Länsstyrelser</w:t>
            </w:r>
            <w:r w:rsidR="00F21B5B">
              <w:rPr>
                <w:rFonts w:ascii="Calibri" w:hAnsi="Calibri" w:cs="Calibri"/>
                <w:color w:val="000000"/>
                <w:sz w:val="22"/>
                <w:szCs w:val="22"/>
              </w:rPr>
              <w:t xml:space="preserve"> med kust mot statligt vatten</w:t>
            </w:r>
            <w:r w:rsidRPr="004563DF">
              <w:rPr>
                <w:rFonts w:ascii="Calibri" w:hAnsi="Calibri" w:cs="Calibri"/>
                <w:color w:val="000000"/>
                <w:sz w:val="22"/>
                <w:szCs w:val="22"/>
              </w:rPr>
              <w:t xml:space="preserve"> uppdaterar och implementerar den regionala oljeskyddsplanen och följer upp planering och förmåga på lokal nivå med Sveriges strategi för oljeskadeskydd som utgångspunkt. </w:t>
            </w:r>
          </w:p>
          <w:p w14:paraId="325559FB" w14:textId="102F0993" w:rsidR="00400BFD" w:rsidRPr="004563DF" w:rsidRDefault="00400BFD" w:rsidP="00F21B5B">
            <w:pPr>
              <w:rPr>
                <w:rFonts w:ascii="Calibri" w:hAnsi="Calibri" w:cs="Calibri"/>
                <w:color w:val="000000"/>
                <w:sz w:val="22"/>
                <w:szCs w:val="22"/>
                <w:highlight w:val="yellow"/>
              </w:rPr>
            </w:pPr>
          </w:p>
        </w:tc>
      </w:tr>
      <w:tr w:rsidR="00D41EE6" w:rsidRPr="004563DF" w14:paraId="320A8B41" w14:textId="3B37B1BA" w:rsidTr="00D41EE6">
        <w:trPr>
          <w:trHeight w:val="590"/>
        </w:trPr>
        <w:tc>
          <w:tcPr>
            <w:tcW w:w="5373" w:type="dxa"/>
            <w:tcBorders>
              <w:top w:val="nil"/>
              <w:left w:val="nil"/>
              <w:bottom w:val="single" w:sz="4" w:space="0" w:color="auto"/>
              <w:right w:val="single" w:sz="4" w:space="0" w:color="auto"/>
            </w:tcBorders>
            <w:shd w:val="clear" w:color="auto" w:fill="F2DBDB" w:themeFill="accent2" w:themeFillTint="33"/>
          </w:tcPr>
          <w:p w14:paraId="33006AB6" w14:textId="65CF1B2E" w:rsidR="00D41EE6" w:rsidRPr="00D41EE6" w:rsidRDefault="00D41EE6" w:rsidP="00D41EE6">
            <w:pPr>
              <w:rPr>
                <w:rFonts w:asciiTheme="minorHAnsi" w:hAnsiTheme="minorHAnsi" w:cstheme="minorHAnsi"/>
                <w:b/>
                <w:bCs/>
              </w:rPr>
            </w:pPr>
            <w:r w:rsidRPr="000F2FCC">
              <w:rPr>
                <w:rFonts w:asciiTheme="minorHAnsi" w:hAnsiTheme="minorHAnsi" w:cstheme="minorHAnsi"/>
                <w:b/>
                <w:bCs/>
              </w:rPr>
              <w:t>Mätetal</w:t>
            </w:r>
          </w:p>
        </w:tc>
        <w:tc>
          <w:tcPr>
            <w:tcW w:w="1997" w:type="dxa"/>
            <w:tcBorders>
              <w:top w:val="nil"/>
              <w:left w:val="single" w:sz="4" w:space="0" w:color="auto"/>
              <w:bottom w:val="single" w:sz="4" w:space="0" w:color="auto"/>
              <w:right w:val="nil"/>
            </w:tcBorders>
            <w:shd w:val="clear" w:color="auto" w:fill="F2DBDB" w:themeFill="accent2" w:themeFillTint="33"/>
          </w:tcPr>
          <w:p w14:paraId="62AA06DB" w14:textId="5552A1EE" w:rsidR="00D41EE6" w:rsidRPr="00D41EE6" w:rsidRDefault="00D41EE6" w:rsidP="00D41EE6">
            <w:pPr>
              <w:rPr>
                <w:rFonts w:asciiTheme="minorHAnsi" w:hAnsiTheme="minorHAnsi" w:cstheme="minorHAnsi"/>
                <w:b/>
                <w:bCs/>
              </w:rPr>
            </w:pPr>
            <w:r w:rsidRPr="00D41EE6">
              <w:rPr>
                <w:rFonts w:asciiTheme="minorHAnsi" w:hAnsiTheme="minorHAnsi" w:cstheme="minorHAnsi"/>
                <w:b/>
                <w:bCs/>
              </w:rPr>
              <w:t>Uppföljning genom</w:t>
            </w:r>
          </w:p>
        </w:tc>
      </w:tr>
      <w:tr w:rsidR="00D41EE6" w:rsidRPr="004563DF" w14:paraId="32B7917F" w14:textId="77777777" w:rsidTr="008A3ECA">
        <w:trPr>
          <w:trHeight w:val="800"/>
        </w:trPr>
        <w:tc>
          <w:tcPr>
            <w:tcW w:w="5373" w:type="dxa"/>
            <w:tcBorders>
              <w:top w:val="single" w:sz="4" w:space="0" w:color="auto"/>
              <w:left w:val="nil"/>
              <w:bottom w:val="single" w:sz="4" w:space="0" w:color="auto"/>
              <w:right w:val="single" w:sz="4" w:space="0" w:color="auto"/>
            </w:tcBorders>
            <w:shd w:val="clear" w:color="auto" w:fill="auto"/>
          </w:tcPr>
          <w:p w14:paraId="670A6FAF" w14:textId="78DF26E4" w:rsidR="00D41EE6" w:rsidRPr="00400BFD" w:rsidRDefault="00D41EE6" w:rsidP="00150553">
            <w:pPr>
              <w:rPr>
                <w:rFonts w:asciiTheme="minorHAnsi" w:hAnsiTheme="minorHAnsi" w:cstheme="minorHAnsi"/>
                <w:b/>
                <w:bCs/>
              </w:rPr>
            </w:pPr>
            <w:r w:rsidRPr="00400BFD">
              <w:rPr>
                <w:rFonts w:ascii="Calibri" w:hAnsi="Calibri" w:cs="Calibri"/>
                <w:color w:val="000000"/>
              </w:rPr>
              <w:t xml:space="preserve">Samtliga länsstyrelser har en </w:t>
            </w:r>
            <w:r w:rsidRPr="00150553">
              <w:rPr>
                <w:rFonts w:ascii="Calibri" w:hAnsi="Calibri" w:cs="Calibri"/>
                <w:color w:val="000000"/>
              </w:rPr>
              <w:t>aktuell</w:t>
            </w:r>
            <w:r w:rsidRPr="00400BFD">
              <w:rPr>
                <w:rFonts w:ascii="Calibri" w:hAnsi="Calibri" w:cs="Calibri"/>
                <w:color w:val="000000"/>
              </w:rPr>
              <w:t xml:space="preserve"> och implementerad </w:t>
            </w:r>
            <w:r w:rsidR="0082503E">
              <w:rPr>
                <w:rFonts w:ascii="Calibri" w:hAnsi="Calibri" w:cs="Calibri"/>
                <w:color w:val="000000"/>
              </w:rPr>
              <w:t xml:space="preserve">regional </w:t>
            </w:r>
            <w:r w:rsidRPr="00400BFD">
              <w:rPr>
                <w:rFonts w:ascii="Calibri" w:hAnsi="Calibri" w:cs="Calibri"/>
                <w:color w:val="000000"/>
              </w:rPr>
              <w:t>oljeskyddsplan</w:t>
            </w:r>
            <w:r w:rsidR="00150553">
              <w:rPr>
                <w:rFonts w:ascii="Calibri" w:hAnsi="Calibri" w:cs="Calibri"/>
                <w:color w:val="000000"/>
              </w:rPr>
              <w:t xml:space="preserve">. </w:t>
            </w:r>
          </w:p>
        </w:tc>
        <w:tc>
          <w:tcPr>
            <w:tcW w:w="1997" w:type="dxa"/>
            <w:tcBorders>
              <w:top w:val="single" w:sz="4" w:space="0" w:color="auto"/>
              <w:left w:val="single" w:sz="4" w:space="0" w:color="auto"/>
              <w:bottom w:val="single" w:sz="4" w:space="0" w:color="auto"/>
              <w:right w:val="nil"/>
            </w:tcBorders>
            <w:shd w:val="clear" w:color="auto" w:fill="auto"/>
          </w:tcPr>
          <w:p w14:paraId="72DC436D" w14:textId="77777777" w:rsidR="00D41EE6" w:rsidRPr="00D41EE6" w:rsidRDefault="00D41EE6" w:rsidP="00D41EE6">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166B7015" w14:textId="77777777" w:rsidR="00D41EE6" w:rsidRPr="00D41EE6" w:rsidRDefault="00D41EE6" w:rsidP="00D41EE6">
            <w:pPr>
              <w:rPr>
                <w:rFonts w:ascii="Calibri" w:eastAsiaTheme="minorHAnsi" w:hAnsi="Calibri" w:cs="Calibri"/>
                <w:color w:val="000000"/>
              </w:rPr>
            </w:pPr>
          </w:p>
        </w:tc>
      </w:tr>
      <w:tr w:rsidR="00D41EE6" w:rsidRPr="004563DF" w14:paraId="1612E987" w14:textId="77777777" w:rsidTr="008A3ECA">
        <w:trPr>
          <w:trHeight w:val="770"/>
        </w:trPr>
        <w:tc>
          <w:tcPr>
            <w:tcW w:w="5373" w:type="dxa"/>
            <w:tcBorders>
              <w:top w:val="single" w:sz="4" w:space="0" w:color="auto"/>
              <w:left w:val="nil"/>
              <w:bottom w:val="nil"/>
              <w:right w:val="single" w:sz="4" w:space="0" w:color="auto"/>
            </w:tcBorders>
            <w:shd w:val="clear" w:color="auto" w:fill="auto"/>
          </w:tcPr>
          <w:p w14:paraId="7BF8E201" w14:textId="6B293291" w:rsidR="00D41EE6" w:rsidRPr="00400BFD" w:rsidRDefault="00D41EE6" w:rsidP="00150553">
            <w:pPr>
              <w:rPr>
                <w:rFonts w:ascii="Calibri" w:hAnsi="Calibri" w:cs="Calibri"/>
                <w:color w:val="000000"/>
              </w:rPr>
            </w:pPr>
            <w:r w:rsidRPr="00400BFD">
              <w:rPr>
                <w:rFonts w:ascii="Calibri" w:hAnsi="Calibri" w:cs="Calibri"/>
                <w:color w:val="000000"/>
              </w:rPr>
              <w:t xml:space="preserve">Samtliga länsstyrelser har en </w:t>
            </w:r>
            <w:r w:rsidRPr="00150553">
              <w:rPr>
                <w:rFonts w:ascii="Calibri" w:hAnsi="Calibri" w:cs="Calibri"/>
                <w:color w:val="000000"/>
              </w:rPr>
              <w:t>plan</w:t>
            </w:r>
            <w:r w:rsidR="00150553">
              <w:rPr>
                <w:rFonts w:ascii="Calibri" w:hAnsi="Calibri" w:cs="Calibri"/>
                <w:color w:val="000000"/>
              </w:rPr>
              <w:t xml:space="preserve"> för uppföljning och revidering av oljeskyddsplaneringen. Revidering görs </w:t>
            </w:r>
            <w:r w:rsidR="00150553" w:rsidRPr="00400BFD">
              <w:rPr>
                <w:rFonts w:ascii="Calibri" w:hAnsi="Calibri" w:cs="Calibri"/>
                <w:color w:val="000000"/>
              </w:rPr>
              <w:t>vid behov eller minst vart fjärde år</w:t>
            </w:r>
            <w:r w:rsidR="00150553">
              <w:rPr>
                <w:rFonts w:ascii="Calibri" w:hAnsi="Calibri" w:cs="Calibri"/>
                <w:color w:val="000000"/>
              </w:rPr>
              <w:t>.</w:t>
            </w:r>
          </w:p>
        </w:tc>
        <w:tc>
          <w:tcPr>
            <w:tcW w:w="1997" w:type="dxa"/>
            <w:tcBorders>
              <w:top w:val="single" w:sz="4" w:space="0" w:color="auto"/>
              <w:left w:val="single" w:sz="4" w:space="0" w:color="auto"/>
              <w:bottom w:val="nil"/>
              <w:right w:val="nil"/>
            </w:tcBorders>
            <w:shd w:val="clear" w:color="auto" w:fill="auto"/>
          </w:tcPr>
          <w:p w14:paraId="16CF9D03" w14:textId="77777777" w:rsidR="00D41EE6" w:rsidRPr="00D41EE6" w:rsidRDefault="00D41EE6" w:rsidP="00D41EE6">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1603424B" w14:textId="77777777" w:rsidR="00D41EE6" w:rsidRPr="00D41EE6" w:rsidRDefault="00D41EE6" w:rsidP="00D41EE6">
            <w:pPr>
              <w:rPr>
                <w:rFonts w:cstheme="minorHAnsi"/>
                <w:b/>
                <w:bCs/>
              </w:rPr>
            </w:pPr>
          </w:p>
        </w:tc>
      </w:tr>
    </w:tbl>
    <w:p w14:paraId="4F4FEC93" w14:textId="1F2B581E" w:rsidR="00081682" w:rsidRDefault="00081682" w:rsidP="008A728D">
      <w:pPr>
        <w:pStyle w:val="Brdtext"/>
      </w:pPr>
    </w:p>
    <w:p w14:paraId="5CE0413A" w14:textId="77777777" w:rsidR="00081682" w:rsidRDefault="00081682">
      <w:pPr>
        <w:spacing w:line="240" w:lineRule="auto"/>
      </w:pPr>
      <w:r>
        <w:br w:type="page"/>
      </w:r>
    </w:p>
    <w:p w14:paraId="46017FA6" w14:textId="6FD3E627" w:rsidR="006D1E72" w:rsidRDefault="0089675E" w:rsidP="008A728D">
      <w:pPr>
        <w:pStyle w:val="Rubrik3"/>
      </w:pPr>
      <w:bookmarkStart w:id="17" w:name="_Toc93561716"/>
      <w:r>
        <w:lastRenderedPageBreak/>
        <w:t>Prioriterade åtgärder på lokal nivå</w:t>
      </w:r>
      <w:bookmarkEnd w:id="17"/>
    </w:p>
    <w:tbl>
      <w:tblPr>
        <w:tblStyle w:val="Tabellrutnt"/>
        <w:tblW w:w="0" w:type="auto"/>
        <w:tblLook w:val="04A0" w:firstRow="1" w:lastRow="0" w:firstColumn="1" w:lastColumn="0" w:noHBand="0" w:noVBand="1"/>
      </w:tblPr>
      <w:tblGrid>
        <w:gridCol w:w="5373"/>
        <w:gridCol w:w="1997"/>
      </w:tblGrid>
      <w:tr w:rsidR="007265A2" w:rsidRPr="003D19E4" w14:paraId="6542EDD9" w14:textId="77777777" w:rsidTr="00400BFD">
        <w:tc>
          <w:tcPr>
            <w:tcW w:w="7370" w:type="dxa"/>
            <w:gridSpan w:val="2"/>
            <w:tcBorders>
              <w:top w:val="nil"/>
              <w:left w:val="nil"/>
              <w:bottom w:val="nil"/>
              <w:right w:val="nil"/>
            </w:tcBorders>
            <w:shd w:val="clear" w:color="auto" w:fill="CC0000"/>
          </w:tcPr>
          <w:p w14:paraId="06BEEAD0" w14:textId="54EF4E7C" w:rsidR="007265A2" w:rsidRPr="00077951" w:rsidRDefault="00077951" w:rsidP="00150553">
            <w:pPr>
              <w:pStyle w:val="Brdtext"/>
              <w:numPr>
                <w:ilvl w:val="0"/>
                <w:numId w:val="86"/>
              </w:numPr>
              <w:rPr>
                <w:rFonts w:asciiTheme="minorHAnsi" w:hAnsiTheme="minorHAnsi" w:cstheme="minorHAnsi"/>
                <w:b/>
                <w:bCs/>
              </w:rPr>
            </w:pPr>
            <w:r>
              <w:rPr>
                <w:rFonts w:asciiTheme="minorHAnsi" w:hAnsiTheme="minorHAnsi" w:cstheme="minorHAnsi"/>
                <w:b/>
                <w:bCs/>
              </w:rPr>
              <w:t>Utsläpp från f</w:t>
            </w:r>
            <w:r w:rsidR="007265A2" w:rsidRPr="00077951">
              <w:rPr>
                <w:rFonts w:asciiTheme="minorHAnsi" w:hAnsiTheme="minorHAnsi" w:cstheme="minorHAnsi"/>
                <w:b/>
                <w:bCs/>
              </w:rPr>
              <w:t xml:space="preserve">artygsolyckor i </w:t>
            </w:r>
            <w:r w:rsidR="00150553">
              <w:rPr>
                <w:rFonts w:asciiTheme="minorHAnsi" w:hAnsiTheme="minorHAnsi" w:cstheme="minorHAnsi"/>
                <w:b/>
                <w:bCs/>
              </w:rPr>
              <w:t>kommunal</w:t>
            </w:r>
            <w:r w:rsidR="007265A2" w:rsidRPr="00077951">
              <w:rPr>
                <w:rFonts w:asciiTheme="minorHAnsi" w:hAnsiTheme="minorHAnsi" w:cstheme="minorHAnsi"/>
                <w:b/>
                <w:bCs/>
              </w:rPr>
              <w:t xml:space="preserve"> risk- och sårbarhetsanalys (RSA)</w:t>
            </w:r>
            <w:r w:rsidR="00400BFD">
              <w:rPr>
                <w:rStyle w:val="Fotnotsreferens"/>
                <w:rFonts w:asciiTheme="minorHAnsi" w:hAnsiTheme="minorHAnsi" w:cstheme="minorHAnsi"/>
                <w:b/>
                <w:bCs/>
              </w:rPr>
              <w:footnoteReference w:id="23"/>
            </w:r>
          </w:p>
        </w:tc>
      </w:tr>
      <w:tr w:rsidR="007265A2" w:rsidRPr="003D19E4" w14:paraId="78FA5B07" w14:textId="77777777" w:rsidTr="008A3ECA">
        <w:tc>
          <w:tcPr>
            <w:tcW w:w="7370" w:type="dxa"/>
            <w:gridSpan w:val="2"/>
            <w:tcBorders>
              <w:top w:val="nil"/>
              <w:left w:val="nil"/>
              <w:bottom w:val="nil"/>
              <w:right w:val="nil"/>
            </w:tcBorders>
            <w:shd w:val="clear" w:color="auto" w:fill="auto"/>
          </w:tcPr>
          <w:p w14:paraId="3D9D21EF" w14:textId="3D4FF56D" w:rsidR="00081682" w:rsidRPr="008A3ECA" w:rsidRDefault="007265A2" w:rsidP="00081682">
            <w:pPr>
              <w:rPr>
                <w:rFonts w:ascii="Calibri" w:hAnsi="Calibri" w:cs="Calibri"/>
                <w:sz w:val="22"/>
                <w:szCs w:val="22"/>
              </w:rPr>
            </w:pPr>
            <w:r w:rsidRPr="00077951">
              <w:rPr>
                <w:rFonts w:ascii="Calibri" w:hAnsi="Calibri" w:cs="Calibri"/>
                <w:color w:val="000000"/>
                <w:sz w:val="22"/>
                <w:szCs w:val="22"/>
              </w:rPr>
              <w:t xml:space="preserve">Kommuner med kust mot statligt vatten inkluderar fartygsolyckor och utsläpp till sjöss som en risk i </w:t>
            </w:r>
            <w:r w:rsidR="00081682">
              <w:rPr>
                <w:rFonts w:ascii="Calibri" w:hAnsi="Calibri" w:cs="Calibri"/>
                <w:color w:val="000000"/>
                <w:sz w:val="22"/>
                <w:szCs w:val="22"/>
              </w:rPr>
              <w:t>den kommunala r</w:t>
            </w:r>
            <w:r w:rsidRPr="00077951">
              <w:rPr>
                <w:rFonts w:ascii="Calibri" w:hAnsi="Calibri" w:cs="Calibri"/>
                <w:color w:val="000000"/>
                <w:sz w:val="22"/>
                <w:szCs w:val="22"/>
              </w:rPr>
              <w:t>isk och sårbarhetsanalys</w:t>
            </w:r>
            <w:r w:rsidR="00081682">
              <w:rPr>
                <w:rFonts w:ascii="Calibri" w:hAnsi="Calibri" w:cs="Calibri"/>
                <w:color w:val="000000"/>
                <w:sz w:val="22"/>
                <w:szCs w:val="22"/>
              </w:rPr>
              <w:t>en</w:t>
            </w:r>
            <w:r w:rsidRPr="00077951">
              <w:rPr>
                <w:rFonts w:ascii="Calibri" w:hAnsi="Calibri" w:cs="Calibri"/>
                <w:color w:val="000000"/>
                <w:sz w:val="22"/>
                <w:szCs w:val="22"/>
              </w:rPr>
              <w:t xml:space="preserve">. </w:t>
            </w:r>
            <w:r w:rsidR="00081682" w:rsidRPr="00081682">
              <w:rPr>
                <w:rFonts w:ascii="Calibri" w:hAnsi="Calibri" w:cs="Calibri"/>
                <w:color w:val="000000"/>
                <w:sz w:val="22"/>
                <w:szCs w:val="22"/>
              </w:rPr>
              <w:t>Olyckornas omfattning är relevant i förhållande till den aktuella riskbilden i kommunen och speglar den trafik samt eventuell kustnära verksamhet som kan leda till föroreningsolyckor i havsmiljön eller de stora insjöarna.</w:t>
            </w:r>
            <w:r w:rsidR="00081682" w:rsidRPr="00150553">
              <w:rPr>
                <w:rFonts w:ascii="Calibri" w:hAnsi="Calibri" w:cs="Calibri"/>
                <w:color w:val="FF0000"/>
                <w:sz w:val="22"/>
                <w:szCs w:val="22"/>
              </w:rPr>
              <w:t xml:space="preserve"> </w:t>
            </w:r>
            <w:r w:rsidR="008A3ECA" w:rsidRPr="008A3ECA">
              <w:rPr>
                <w:rFonts w:ascii="Calibri" w:hAnsi="Calibri" w:cs="Calibri"/>
                <w:sz w:val="22"/>
                <w:szCs w:val="22"/>
              </w:rPr>
              <w:t>Kommuner som är utpekade som skyddad plats</w:t>
            </w:r>
            <w:r w:rsidR="008A3ECA" w:rsidRPr="008A3ECA">
              <w:rPr>
                <w:rStyle w:val="Fotnotsreferens"/>
                <w:rFonts w:ascii="Calibri" w:hAnsi="Calibri" w:cs="Calibri"/>
                <w:sz w:val="22"/>
                <w:szCs w:val="22"/>
              </w:rPr>
              <w:footnoteReference w:id="24"/>
            </w:r>
            <w:r w:rsidR="008A3ECA" w:rsidRPr="008A3ECA">
              <w:rPr>
                <w:rFonts w:ascii="Calibri" w:hAnsi="Calibri" w:cs="Calibri"/>
                <w:sz w:val="22"/>
                <w:szCs w:val="22"/>
              </w:rPr>
              <w:t xml:space="preserve"> har förmåga att hantera ett fartyg i behov av assistans.</w:t>
            </w:r>
          </w:p>
          <w:p w14:paraId="53AB9830" w14:textId="309A4F4A" w:rsidR="00400BFD" w:rsidRPr="00077951" w:rsidRDefault="00400BFD" w:rsidP="007265A2">
            <w:pPr>
              <w:rPr>
                <w:rFonts w:ascii="Calibri" w:hAnsi="Calibri" w:cs="Calibri"/>
                <w:color w:val="000000"/>
                <w:sz w:val="22"/>
                <w:szCs w:val="22"/>
              </w:rPr>
            </w:pPr>
          </w:p>
        </w:tc>
      </w:tr>
      <w:tr w:rsidR="00400BFD" w:rsidRPr="004563DF" w14:paraId="11A38B48" w14:textId="3ACA0118" w:rsidTr="00400BFD">
        <w:trPr>
          <w:trHeight w:val="250"/>
        </w:trPr>
        <w:tc>
          <w:tcPr>
            <w:tcW w:w="5373" w:type="dxa"/>
            <w:tcBorders>
              <w:top w:val="nil"/>
              <w:left w:val="nil"/>
              <w:bottom w:val="single" w:sz="4" w:space="0" w:color="auto"/>
              <w:right w:val="single" w:sz="4" w:space="0" w:color="auto"/>
            </w:tcBorders>
            <w:shd w:val="clear" w:color="auto" w:fill="F2DBDB" w:themeFill="accent2" w:themeFillTint="33"/>
          </w:tcPr>
          <w:p w14:paraId="6D87E686" w14:textId="4EFED7A5" w:rsidR="00400BFD" w:rsidRPr="00400BFD" w:rsidRDefault="00400BFD" w:rsidP="00400BFD">
            <w:pPr>
              <w:rPr>
                <w:rFonts w:ascii="Calibri" w:hAnsi="Calibri" w:cs="Calibri"/>
                <w:color w:val="000000"/>
              </w:rPr>
            </w:pPr>
            <w:r w:rsidRPr="000F2FCC">
              <w:rPr>
                <w:rFonts w:asciiTheme="minorHAnsi" w:hAnsiTheme="minorHAnsi" w:cstheme="minorHAnsi"/>
                <w:b/>
                <w:bCs/>
              </w:rPr>
              <w:t>Mätetal</w:t>
            </w:r>
          </w:p>
        </w:tc>
        <w:tc>
          <w:tcPr>
            <w:tcW w:w="1997" w:type="dxa"/>
            <w:tcBorders>
              <w:top w:val="nil"/>
              <w:left w:val="single" w:sz="4" w:space="0" w:color="auto"/>
              <w:bottom w:val="single" w:sz="4" w:space="0" w:color="auto"/>
              <w:right w:val="nil"/>
            </w:tcBorders>
            <w:shd w:val="clear" w:color="auto" w:fill="F2DBDB" w:themeFill="accent2" w:themeFillTint="33"/>
          </w:tcPr>
          <w:p w14:paraId="186C4CDA" w14:textId="77777777" w:rsidR="00400BFD" w:rsidRDefault="00400BFD" w:rsidP="00400BFD">
            <w:pPr>
              <w:rPr>
                <w:rFonts w:asciiTheme="minorHAnsi" w:hAnsiTheme="minorHAnsi" w:cstheme="minorHAnsi"/>
                <w:b/>
                <w:bCs/>
              </w:rPr>
            </w:pPr>
            <w:r w:rsidRPr="00D41EE6">
              <w:rPr>
                <w:rFonts w:asciiTheme="minorHAnsi" w:hAnsiTheme="minorHAnsi" w:cstheme="minorHAnsi"/>
                <w:b/>
                <w:bCs/>
              </w:rPr>
              <w:t>Uppföljning genom</w:t>
            </w:r>
          </w:p>
          <w:p w14:paraId="7298DACB" w14:textId="583C328E" w:rsidR="00400BFD" w:rsidRPr="00400BFD" w:rsidRDefault="00400BFD" w:rsidP="00400BFD">
            <w:pPr>
              <w:rPr>
                <w:rFonts w:ascii="Calibri" w:hAnsi="Calibri" w:cs="Calibri"/>
                <w:color w:val="000000"/>
              </w:rPr>
            </w:pPr>
          </w:p>
        </w:tc>
      </w:tr>
      <w:tr w:rsidR="00400BFD" w:rsidRPr="004563DF" w14:paraId="7F240CCD" w14:textId="77777777" w:rsidTr="008A3ECA">
        <w:trPr>
          <w:trHeight w:val="1190"/>
        </w:trPr>
        <w:tc>
          <w:tcPr>
            <w:tcW w:w="5373" w:type="dxa"/>
            <w:tcBorders>
              <w:top w:val="single" w:sz="4" w:space="0" w:color="auto"/>
              <w:left w:val="nil"/>
              <w:bottom w:val="single" w:sz="4" w:space="0" w:color="auto"/>
              <w:right w:val="single" w:sz="4" w:space="0" w:color="auto"/>
            </w:tcBorders>
            <w:shd w:val="clear" w:color="auto" w:fill="auto"/>
          </w:tcPr>
          <w:p w14:paraId="6DC5F73D" w14:textId="22ACC58C" w:rsidR="00081682" w:rsidRPr="0083655F" w:rsidRDefault="00081682" w:rsidP="00081682">
            <w:pPr>
              <w:rPr>
                <w:rFonts w:ascii="Calibri" w:hAnsi="Calibri" w:cs="Calibri"/>
                <w:color w:val="000000"/>
              </w:rPr>
            </w:pPr>
            <w:r>
              <w:rPr>
                <w:rFonts w:ascii="Calibri" w:hAnsi="Calibri" w:cs="Calibri"/>
                <w:color w:val="000000"/>
              </w:rPr>
              <w:t>K</w:t>
            </w:r>
            <w:r w:rsidR="00C0440E">
              <w:rPr>
                <w:rFonts w:ascii="Calibri" w:hAnsi="Calibri" w:cs="Calibri"/>
                <w:color w:val="000000"/>
              </w:rPr>
              <w:t xml:space="preserve">ustkommuners </w:t>
            </w:r>
            <w:r w:rsidRPr="0083655F">
              <w:rPr>
                <w:rFonts w:ascii="Calibri" w:hAnsi="Calibri" w:cs="Calibri"/>
                <w:color w:val="000000"/>
              </w:rPr>
              <w:t>risk- och sårbarhetsanalys</w:t>
            </w:r>
            <w:r>
              <w:rPr>
                <w:rFonts w:ascii="Calibri" w:hAnsi="Calibri" w:cs="Calibri"/>
                <w:color w:val="000000"/>
              </w:rPr>
              <w:t>er</w:t>
            </w:r>
            <w:r w:rsidRPr="0083655F">
              <w:rPr>
                <w:rFonts w:ascii="Calibri" w:hAnsi="Calibri" w:cs="Calibri"/>
                <w:color w:val="000000"/>
              </w:rPr>
              <w:t xml:space="preserve"> omfattar risken att drabbas av större utsläpp från sjöfarten</w:t>
            </w:r>
            <w:r>
              <w:rPr>
                <w:rFonts w:ascii="Calibri" w:hAnsi="Calibri" w:cs="Calibri"/>
                <w:color w:val="000000"/>
              </w:rPr>
              <w:t>.</w:t>
            </w:r>
          </w:p>
          <w:p w14:paraId="1AD92813" w14:textId="008E4A53" w:rsidR="00400BFD" w:rsidRPr="00077951" w:rsidRDefault="00400BFD" w:rsidP="00400BFD">
            <w:pPr>
              <w:rPr>
                <w:rFonts w:ascii="Calibri" w:hAnsi="Calibri" w:cs="Calibri"/>
                <w:b/>
                <w:bCs/>
                <w:color w:val="000000"/>
              </w:rPr>
            </w:pPr>
          </w:p>
        </w:tc>
        <w:tc>
          <w:tcPr>
            <w:tcW w:w="1997" w:type="dxa"/>
            <w:tcBorders>
              <w:top w:val="single" w:sz="4" w:space="0" w:color="auto"/>
              <w:left w:val="single" w:sz="4" w:space="0" w:color="auto"/>
              <w:bottom w:val="single" w:sz="4" w:space="0" w:color="auto"/>
              <w:right w:val="nil"/>
            </w:tcBorders>
            <w:shd w:val="clear" w:color="auto" w:fill="auto"/>
          </w:tcPr>
          <w:p w14:paraId="2FC1CCBC" w14:textId="77777777" w:rsidR="00400BFD" w:rsidRPr="00D41EE6" w:rsidRDefault="00400BFD" w:rsidP="00400BFD">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17E31EDF" w14:textId="77777777" w:rsidR="00400BFD" w:rsidRDefault="00400BFD" w:rsidP="00400BFD">
            <w:pPr>
              <w:rPr>
                <w:rFonts w:ascii="Calibri" w:hAnsi="Calibri" w:cs="Calibri"/>
                <w:color w:val="000000"/>
              </w:rPr>
            </w:pPr>
          </w:p>
        </w:tc>
      </w:tr>
      <w:tr w:rsidR="00400BFD" w:rsidRPr="004563DF" w14:paraId="3817B23C" w14:textId="62324EE7" w:rsidTr="008A3ECA">
        <w:trPr>
          <w:trHeight w:val="973"/>
        </w:trPr>
        <w:tc>
          <w:tcPr>
            <w:tcW w:w="5373" w:type="dxa"/>
            <w:tcBorders>
              <w:top w:val="single" w:sz="4" w:space="0" w:color="auto"/>
              <w:left w:val="nil"/>
              <w:bottom w:val="single" w:sz="4" w:space="0" w:color="auto"/>
              <w:right w:val="single" w:sz="4" w:space="0" w:color="auto"/>
            </w:tcBorders>
            <w:shd w:val="clear" w:color="auto" w:fill="auto"/>
          </w:tcPr>
          <w:p w14:paraId="372596D1" w14:textId="1B02F5CA" w:rsidR="00400BFD" w:rsidRPr="00400BFD" w:rsidRDefault="00C0440E" w:rsidP="00400BFD">
            <w:pPr>
              <w:rPr>
                <w:rFonts w:ascii="Calibri" w:hAnsi="Calibri" w:cs="Calibri"/>
                <w:color w:val="000000"/>
              </w:rPr>
            </w:pPr>
            <w:r>
              <w:rPr>
                <w:rFonts w:ascii="Calibri" w:hAnsi="Calibri" w:cs="Calibri"/>
                <w:color w:val="000000"/>
              </w:rPr>
              <w:t xml:space="preserve">Kustkommuners </w:t>
            </w:r>
            <w:r w:rsidR="00081682" w:rsidRPr="0083655F">
              <w:rPr>
                <w:rFonts w:ascii="Calibri" w:hAnsi="Calibri" w:cs="Calibri"/>
                <w:color w:val="000000"/>
              </w:rPr>
              <w:t>risk- och sårbarhetsanalys</w:t>
            </w:r>
            <w:r w:rsidR="00081682">
              <w:rPr>
                <w:rFonts w:ascii="Calibri" w:hAnsi="Calibri" w:cs="Calibri"/>
                <w:color w:val="000000"/>
              </w:rPr>
              <w:t>er</w:t>
            </w:r>
            <w:r w:rsidR="00081682" w:rsidRPr="0083655F">
              <w:rPr>
                <w:rFonts w:ascii="Calibri" w:hAnsi="Calibri" w:cs="Calibri"/>
                <w:color w:val="000000"/>
              </w:rPr>
              <w:t xml:space="preserve"> presenterar nivån av samverkan med andra aktörer, lokalt, regionalt, nationellt och internationellt</w:t>
            </w:r>
            <w:r w:rsidR="00081682">
              <w:rPr>
                <w:rFonts w:ascii="Calibri" w:hAnsi="Calibri" w:cs="Calibri"/>
                <w:color w:val="000000"/>
              </w:rPr>
              <w:t>.</w:t>
            </w:r>
          </w:p>
        </w:tc>
        <w:tc>
          <w:tcPr>
            <w:tcW w:w="1997" w:type="dxa"/>
            <w:tcBorders>
              <w:top w:val="single" w:sz="4" w:space="0" w:color="auto"/>
              <w:left w:val="single" w:sz="4" w:space="0" w:color="auto"/>
              <w:bottom w:val="single" w:sz="4" w:space="0" w:color="auto"/>
              <w:right w:val="nil"/>
            </w:tcBorders>
            <w:shd w:val="clear" w:color="auto" w:fill="auto"/>
          </w:tcPr>
          <w:p w14:paraId="45F7B948" w14:textId="77777777" w:rsidR="00400BFD" w:rsidRPr="00D41EE6" w:rsidRDefault="00400BFD" w:rsidP="00400BFD">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3F09E523" w14:textId="5645DA9B" w:rsidR="00400BFD" w:rsidRPr="00400BFD" w:rsidRDefault="00400BFD" w:rsidP="00400BFD">
            <w:pPr>
              <w:rPr>
                <w:rFonts w:ascii="Calibri" w:hAnsi="Calibri" w:cs="Calibri"/>
                <w:b/>
                <w:bCs/>
                <w:color w:val="000000"/>
              </w:rPr>
            </w:pPr>
          </w:p>
        </w:tc>
      </w:tr>
      <w:tr w:rsidR="00400BFD" w:rsidRPr="004563DF" w14:paraId="667F1723" w14:textId="77777777" w:rsidTr="008A3ECA">
        <w:trPr>
          <w:trHeight w:val="1065"/>
        </w:trPr>
        <w:tc>
          <w:tcPr>
            <w:tcW w:w="5373" w:type="dxa"/>
            <w:tcBorders>
              <w:top w:val="single" w:sz="4" w:space="0" w:color="auto"/>
              <w:left w:val="nil"/>
              <w:bottom w:val="single" w:sz="4" w:space="0" w:color="auto"/>
              <w:right w:val="single" w:sz="4" w:space="0" w:color="auto"/>
            </w:tcBorders>
            <w:shd w:val="clear" w:color="auto" w:fill="auto"/>
          </w:tcPr>
          <w:p w14:paraId="60B2DAAF" w14:textId="58138F05" w:rsidR="00400BFD" w:rsidRPr="00400BFD" w:rsidRDefault="00081682" w:rsidP="00081682">
            <w:pPr>
              <w:rPr>
                <w:rFonts w:ascii="Calibri" w:hAnsi="Calibri" w:cs="Calibri"/>
                <w:color w:val="000000"/>
              </w:rPr>
            </w:pPr>
            <w:r>
              <w:rPr>
                <w:rFonts w:ascii="Calibri" w:hAnsi="Calibri" w:cs="Calibri"/>
                <w:color w:val="000000"/>
              </w:rPr>
              <w:t>Riskbild för oljeolyckor till sjöss i Sverige används som underlag för framtagande av kommunala</w:t>
            </w:r>
            <w:r w:rsidRPr="0083655F">
              <w:rPr>
                <w:rFonts w:ascii="Calibri" w:hAnsi="Calibri" w:cs="Calibri"/>
                <w:color w:val="000000"/>
              </w:rPr>
              <w:t xml:space="preserve"> risk- och sårbarhetsanalys</w:t>
            </w:r>
            <w:r>
              <w:rPr>
                <w:rFonts w:ascii="Calibri" w:hAnsi="Calibri" w:cs="Calibri"/>
                <w:color w:val="000000"/>
              </w:rPr>
              <w:t>er.</w:t>
            </w:r>
          </w:p>
        </w:tc>
        <w:tc>
          <w:tcPr>
            <w:tcW w:w="1997" w:type="dxa"/>
            <w:tcBorders>
              <w:top w:val="single" w:sz="4" w:space="0" w:color="auto"/>
              <w:left w:val="single" w:sz="4" w:space="0" w:color="auto"/>
              <w:bottom w:val="single" w:sz="4" w:space="0" w:color="auto"/>
              <w:right w:val="nil"/>
            </w:tcBorders>
            <w:shd w:val="clear" w:color="auto" w:fill="auto"/>
          </w:tcPr>
          <w:p w14:paraId="487C6016" w14:textId="12BD33AB" w:rsidR="00400BFD" w:rsidRPr="00400BFD" w:rsidRDefault="00400BFD" w:rsidP="00081682">
            <w:pPr>
              <w:rPr>
                <w:rFonts w:ascii="Calibri" w:hAnsi="Calibri" w:cs="Calibri"/>
                <w:b/>
                <w:bCs/>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tbl>
    <w:p w14:paraId="10ACA5B9" w14:textId="027C9CDF" w:rsidR="00400BFD" w:rsidRDefault="00400BFD">
      <w:pPr>
        <w:spacing w:line="240" w:lineRule="auto"/>
      </w:pPr>
    </w:p>
    <w:p w14:paraId="094F6F42" w14:textId="675EBAC3" w:rsidR="00A061D7" w:rsidRDefault="00A061D7">
      <w:pPr>
        <w:spacing w:line="240" w:lineRule="auto"/>
      </w:pPr>
      <w:r>
        <w:br w:type="page"/>
      </w:r>
    </w:p>
    <w:p w14:paraId="382FACED" w14:textId="77777777" w:rsidR="007265A2" w:rsidRPr="006D1E72" w:rsidRDefault="007265A2" w:rsidP="008A728D">
      <w:pPr>
        <w:pStyle w:val="Brdtext"/>
      </w:pPr>
    </w:p>
    <w:tbl>
      <w:tblPr>
        <w:tblStyle w:val="Tabellrutnt"/>
        <w:tblW w:w="0" w:type="auto"/>
        <w:tblLook w:val="04A0" w:firstRow="1" w:lastRow="0" w:firstColumn="1" w:lastColumn="0" w:noHBand="0" w:noVBand="1"/>
      </w:tblPr>
      <w:tblGrid>
        <w:gridCol w:w="5373"/>
        <w:gridCol w:w="1997"/>
      </w:tblGrid>
      <w:tr w:rsidR="0089675E" w:rsidRPr="004563DF" w14:paraId="3E9BB4E9" w14:textId="77777777" w:rsidTr="00A061D7">
        <w:tc>
          <w:tcPr>
            <w:tcW w:w="7370" w:type="dxa"/>
            <w:gridSpan w:val="2"/>
            <w:tcBorders>
              <w:top w:val="nil"/>
              <w:left w:val="nil"/>
              <w:bottom w:val="nil"/>
              <w:right w:val="nil"/>
            </w:tcBorders>
            <w:shd w:val="clear" w:color="auto" w:fill="CC0000"/>
          </w:tcPr>
          <w:p w14:paraId="3328C85F" w14:textId="25186E43" w:rsidR="007C7901" w:rsidRPr="009F6D17" w:rsidRDefault="00013D66" w:rsidP="008A728D">
            <w:pPr>
              <w:pStyle w:val="Brdtext"/>
              <w:numPr>
                <w:ilvl w:val="0"/>
                <w:numId w:val="86"/>
              </w:numPr>
              <w:rPr>
                <w:rFonts w:asciiTheme="minorHAnsi" w:hAnsiTheme="minorHAnsi" w:cstheme="minorHAnsi"/>
                <w:b/>
                <w:bCs/>
              </w:rPr>
            </w:pPr>
            <w:r w:rsidRPr="00232C9B">
              <w:rPr>
                <w:rFonts w:ascii="Calibri" w:hAnsi="Calibri" w:cs="Calibri"/>
                <w:b/>
                <w:color w:val="000000"/>
                <w:sz w:val="22"/>
                <w:szCs w:val="22"/>
              </w:rPr>
              <w:t>Uppdatering och inventering av skyddsvärda områden</w:t>
            </w:r>
            <w:r>
              <w:rPr>
                <w:rFonts w:ascii="Calibri" w:hAnsi="Calibri" w:cs="Calibri"/>
                <w:color w:val="000000"/>
                <w:sz w:val="22"/>
                <w:szCs w:val="22"/>
              </w:rPr>
              <w:t xml:space="preserve"> </w:t>
            </w:r>
            <w:r w:rsidRPr="004563DF">
              <w:rPr>
                <w:rFonts w:ascii="Calibri" w:hAnsi="Calibri" w:cs="Calibri"/>
                <w:b/>
                <w:bCs/>
                <w:color w:val="000000"/>
                <w:sz w:val="22"/>
                <w:szCs w:val="22"/>
              </w:rPr>
              <w:t>i D</w:t>
            </w:r>
            <w:r w:rsidR="009F6D17">
              <w:rPr>
                <w:rFonts w:ascii="Calibri" w:hAnsi="Calibri" w:cs="Calibri"/>
                <w:b/>
                <w:bCs/>
                <w:color w:val="000000"/>
                <w:szCs w:val="22"/>
              </w:rPr>
              <w:t>igital Miljöatlas</w:t>
            </w:r>
          </w:p>
        </w:tc>
      </w:tr>
      <w:tr w:rsidR="0089675E" w:rsidRPr="004563DF" w14:paraId="7A235550" w14:textId="77777777" w:rsidTr="008A3ECA">
        <w:tc>
          <w:tcPr>
            <w:tcW w:w="7370" w:type="dxa"/>
            <w:gridSpan w:val="2"/>
            <w:tcBorders>
              <w:top w:val="nil"/>
              <w:left w:val="nil"/>
              <w:bottom w:val="nil"/>
              <w:right w:val="nil"/>
            </w:tcBorders>
            <w:shd w:val="clear" w:color="auto" w:fill="auto"/>
          </w:tcPr>
          <w:p w14:paraId="164D76DD" w14:textId="77777777" w:rsidR="0089675E" w:rsidRDefault="00541381" w:rsidP="00A061D7">
            <w:pPr>
              <w:rPr>
                <w:rFonts w:ascii="Calibri" w:hAnsi="Calibri" w:cs="Calibri"/>
                <w:color w:val="000000"/>
                <w:sz w:val="22"/>
                <w:szCs w:val="22"/>
              </w:rPr>
            </w:pPr>
            <w:r w:rsidRPr="00A061D7">
              <w:rPr>
                <w:rFonts w:ascii="Calibri" w:hAnsi="Calibri" w:cs="Calibri"/>
                <w:color w:val="000000"/>
                <w:sz w:val="22"/>
                <w:szCs w:val="22"/>
              </w:rPr>
              <w:t>K</w:t>
            </w:r>
            <w:r w:rsidR="00013D66" w:rsidRPr="00A061D7">
              <w:rPr>
                <w:rFonts w:ascii="Calibri" w:hAnsi="Calibri" w:cs="Calibri"/>
                <w:color w:val="000000"/>
                <w:sz w:val="22"/>
                <w:szCs w:val="22"/>
              </w:rPr>
              <w:t>ommunerna</w:t>
            </w:r>
            <w:r w:rsidRPr="00A061D7">
              <w:rPr>
                <w:rFonts w:ascii="Calibri" w:hAnsi="Calibri" w:cs="Calibri"/>
                <w:color w:val="000000"/>
                <w:sz w:val="22"/>
                <w:szCs w:val="22"/>
              </w:rPr>
              <w:t xml:space="preserve"> </w:t>
            </w:r>
            <w:r w:rsidR="00C87F99" w:rsidRPr="00A061D7">
              <w:rPr>
                <w:rFonts w:ascii="Calibri" w:hAnsi="Calibri" w:cs="Calibri"/>
                <w:color w:val="000000"/>
                <w:sz w:val="22"/>
                <w:szCs w:val="22"/>
              </w:rPr>
              <w:t xml:space="preserve">med kust mot statligt vatten </w:t>
            </w:r>
            <w:r w:rsidRPr="00A061D7">
              <w:rPr>
                <w:rFonts w:ascii="Calibri" w:hAnsi="Calibri" w:cs="Calibri"/>
                <w:color w:val="000000"/>
                <w:sz w:val="22"/>
                <w:szCs w:val="22"/>
              </w:rPr>
              <w:t>bidrar</w:t>
            </w:r>
            <w:r>
              <w:rPr>
                <w:rFonts w:ascii="Calibri" w:hAnsi="Calibri" w:cs="Calibri"/>
                <w:color w:val="000000"/>
                <w:sz w:val="22"/>
                <w:szCs w:val="22"/>
              </w:rPr>
              <w:t xml:space="preserve"> med lokala prioriteringar i Digital Mi</w:t>
            </w:r>
            <w:r w:rsidR="00683664">
              <w:rPr>
                <w:rFonts w:ascii="Calibri" w:hAnsi="Calibri" w:cs="Calibri"/>
                <w:color w:val="000000"/>
                <w:sz w:val="22"/>
                <w:szCs w:val="22"/>
              </w:rPr>
              <w:t>ljöatlas</w:t>
            </w:r>
            <w:r w:rsidR="00A061D7">
              <w:rPr>
                <w:rFonts w:ascii="Calibri" w:hAnsi="Calibri" w:cs="Calibri"/>
                <w:color w:val="000000"/>
                <w:sz w:val="22"/>
                <w:szCs w:val="22"/>
              </w:rPr>
              <w:t xml:space="preserve"> u</w:t>
            </w:r>
            <w:r w:rsidR="007B421B">
              <w:rPr>
                <w:rFonts w:ascii="Calibri" w:hAnsi="Calibri" w:cs="Calibri"/>
                <w:color w:val="000000"/>
                <w:sz w:val="22"/>
                <w:szCs w:val="22"/>
              </w:rPr>
              <w:t xml:space="preserve">tifrån länsstyrelsernas riktlinjer. </w:t>
            </w:r>
          </w:p>
          <w:p w14:paraId="767824A9" w14:textId="37CEDEFE" w:rsidR="00A061D7" w:rsidRPr="004563DF" w:rsidRDefault="00A061D7" w:rsidP="00A061D7">
            <w:pPr>
              <w:rPr>
                <w:rFonts w:ascii="Calibri" w:hAnsi="Calibri" w:cs="Calibri"/>
                <w:color w:val="000000"/>
                <w:sz w:val="22"/>
                <w:szCs w:val="22"/>
              </w:rPr>
            </w:pPr>
          </w:p>
        </w:tc>
      </w:tr>
      <w:tr w:rsidR="00A061D7" w:rsidRPr="004563DF" w14:paraId="3BAA9C0D" w14:textId="338F0473" w:rsidTr="00A061D7">
        <w:trPr>
          <w:trHeight w:val="552"/>
        </w:trPr>
        <w:tc>
          <w:tcPr>
            <w:tcW w:w="5373" w:type="dxa"/>
            <w:tcBorders>
              <w:top w:val="nil"/>
              <w:left w:val="nil"/>
              <w:bottom w:val="single" w:sz="4" w:space="0" w:color="auto"/>
              <w:right w:val="single" w:sz="4" w:space="0" w:color="auto"/>
            </w:tcBorders>
            <w:shd w:val="clear" w:color="auto" w:fill="F2DBDB" w:themeFill="accent2" w:themeFillTint="33"/>
          </w:tcPr>
          <w:p w14:paraId="4DCFE5AA" w14:textId="41F93462" w:rsidR="00A061D7" w:rsidRPr="00A061D7" w:rsidRDefault="00A061D7" w:rsidP="00A061D7">
            <w:pPr>
              <w:rPr>
                <w:rFonts w:ascii="Calibri" w:hAnsi="Calibri" w:cs="Calibri"/>
                <w:color w:val="000000"/>
              </w:rPr>
            </w:pPr>
            <w:r w:rsidRPr="000F2FCC">
              <w:rPr>
                <w:rFonts w:asciiTheme="minorHAnsi" w:hAnsiTheme="minorHAnsi" w:cstheme="minorHAnsi"/>
                <w:b/>
                <w:bCs/>
              </w:rPr>
              <w:t>Mätetal</w:t>
            </w:r>
          </w:p>
        </w:tc>
        <w:tc>
          <w:tcPr>
            <w:tcW w:w="1997" w:type="dxa"/>
            <w:tcBorders>
              <w:top w:val="nil"/>
              <w:left w:val="single" w:sz="4" w:space="0" w:color="auto"/>
              <w:bottom w:val="single" w:sz="4" w:space="0" w:color="auto"/>
              <w:right w:val="nil"/>
            </w:tcBorders>
            <w:shd w:val="clear" w:color="auto" w:fill="F2DBDB" w:themeFill="accent2" w:themeFillTint="33"/>
          </w:tcPr>
          <w:p w14:paraId="105B58D7" w14:textId="77777777" w:rsidR="00A061D7" w:rsidRDefault="00A061D7" w:rsidP="00A061D7">
            <w:pPr>
              <w:rPr>
                <w:rFonts w:asciiTheme="minorHAnsi" w:hAnsiTheme="minorHAnsi" w:cstheme="minorHAnsi"/>
                <w:b/>
                <w:bCs/>
              </w:rPr>
            </w:pPr>
            <w:r w:rsidRPr="00D41EE6">
              <w:rPr>
                <w:rFonts w:asciiTheme="minorHAnsi" w:hAnsiTheme="minorHAnsi" w:cstheme="minorHAnsi"/>
                <w:b/>
                <w:bCs/>
              </w:rPr>
              <w:t>Uppföljning genom</w:t>
            </w:r>
          </w:p>
          <w:p w14:paraId="10AA8E7D" w14:textId="1852965C" w:rsidR="00A061D7" w:rsidRPr="00A061D7" w:rsidRDefault="00A061D7" w:rsidP="00A061D7">
            <w:pPr>
              <w:rPr>
                <w:rFonts w:ascii="Calibri" w:hAnsi="Calibri" w:cs="Calibri"/>
                <w:color w:val="000000"/>
              </w:rPr>
            </w:pPr>
          </w:p>
        </w:tc>
      </w:tr>
      <w:tr w:rsidR="00A061D7" w:rsidRPr="004563DF" w14:paraId="4B83B081" w14:textId="77777777" w:rsidTr="008A3ECA">
        <w:trPr>
          <w:trHeight w:val="889"/>
        </w:trPr>
        <w:tc>
          <w:tcPr>
            <w:tcW w:w="5373" w:type="dxa"/>
            <w:tcBorders>
              <w:top w:val="single" w:sz="4" w:space="0" w:color="auto"/>
              <w:left w:val="nil"/>
              <w:bottom w:val="single" w:sz="4" w:space="0" w:color="auto"/>
              <w:right w:val="single" w:sz="4" w:space="0" w:color="auto"/>
            </w:tcBorders>
            <w:shd w:val="clear" w:color="auto" w:fill="auto"/>
          </w:tcPr>
          <w:p w14:paraId="49F9681D" w14:textId="34F22C9F" w:rsidR="00A061D7" w:rsidRDefault="007D312B" w:rsidP="007D312B">
            <w:pPr>
              <w:rPr>
                <w:rFonts w:ascii="Calibri" w:hAnsi="Calibri" w:cs="Calibri"/>
                <w:b/>
                <w:bCs/>
                <w:color w:val="000000"/>
              </w:rPr>
            </w:pPr>
            <w:r>
              <w:rPr>
                <w:rFonts w:ascii="Calibri" w:hAnsi="Calibri" w:cs="Calibri"/>
                <w:color w:val="000000"/>
              </w:rPr>
              <w:t xml:space="preserve">Samtliga </w:t>
            </w:r>
            <w:r w:rsidR="00A061D7" w:rsidRPr="00A061D7">
              <w:rPr>
                <w:rFonts w:ascii="Calibri" w:hAnsi="Calibri" w:cs="Calibri"/>
                <w:color w:val="000000"/>
              </w:rPr>
              <w:t>kustkommuner gör översyn av Digital Miljöatlas vart fjärde år</w:t>
            </w:r>
            <w:r w:rsidR="00A061D7">
              <w:rPr>
                <w:rFonts w:ascii="Calibri" w:hAnsi="Calibri" w:cs="Calibri"/>
                <w:color w:val="000000"/>
              </w:rPr>
              <w:t>.</w:t>
            </w:r>
            <w:r w:rsidR="00A061D7" w:rsidRPr="00A061D7">
              <w:rPr>
                <w:rFonts w:ascii="Calibri" w:hAnsi="Calibri" w:cs="Calibri"/>
                <w:color w:val="000000"/>
              </w:rPr>
              <w:t xml:space="preserve"> </w:t>
            </w:r>
            <w:r>
              <w:rPr>
                <w:rFonts w:ascii="Calibri" w:hAnsi="Calibri" w:cs="Calibri"/>
                <w:color w:val="000000"/>
              </w:rPr>
              <w:t xml:space="preserve"> </w:t>
            </w:r>
          </w:p>
        </w:tc>
        <w:tc>
          <w:tcPr>
            <w:tcW w:w="1997" w:type="dxa"/>
            <w:tcBorders>
              <w:top w:val="single" w:sz="4" w:space="0" w:color="auto"/>
              <w:left w:val="single" w:sz="4" w:space="0" w:color="auto"/>
              <w:bottom w:val="single" w:sz="4" w:space="0" w:color="auto"/>
              <w:right w:val="nil"/>
            </w:tcBorders>
            <w:shd w:val="clear" w:color="auto" w:fill="auto"/>
          </w:tcPr>
          <w:p w14:paraId="001BF49C" w14:textId="78BD7C33" w:rsidR="00A061D7" w:rsidRDefault="00A061D7" w:rsidP="00A061D7">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tr w:rsidR="00A061D7" w:rsidRPr="004563DF" w14:paraId="35CF04AE" w14:textId="5608DFB6" w:rsidTr="008A3ECA">
        <w:trPr>
          <w:trHeight w:val="1115"/>
        </w:trPr>
        <w:tc>
          <w:tcPr>
            <w:tcW w:w="5373" w:type="dxa"/>
            <w:tcBorders>
              <w:top w:val="single" w:sz="4" w:space="0" w:color="auto"/>
              <w:left w:val="nil"/>
              <w:bottom w:val="nil"/>
              <w:right w:val="single" w:sz="4" w:space="0" w:color="auto"/>
            </w:tcBorders>
            <w:shd w:val="clear" w:color="auto" w:fill="auto"/>
          </w:tcPr>
          <w:p w14:paraId="6A075183" w14:textId="69984D77" w:rsidR="00A061D7" w:rsidRPr="00A061D7" w:rsidRDefault="00A061D7" w:rsidP="00A061D7">
            <w:pPr>
              <w:rPr>
                <w:rFonts w:ascii="Calibri" w:hAnsi="Calibri" w:cs="Calibri"/>
                <w:color w:val="000000"/>
              </w:rPr>
            </w:pPr>
            <w:r w:rsidRPr="00A061D7">
              <w:rPr>
                <w:rFonts w:ascii="Calibri" w:hAnsi="Calibri" w:cs="Calibri"/>
                <w:color w:val="000000"/>
              </w:rPr>
              <w:t xml:space="preserve">Samtliga kustkommuner uppdaterar skyddsvärda områden </w:t>
            </w:r>
            <w:r w:rsidR="00E1043A" w:rsidRPr="00E1043A">
              <w:rPr>
                <w:rFonts w:ascii="Calibri" w:hAnsi="Calibri" w:cs="Calibri"/>
                <w:color w:val="000000"/>
              </w:rPr>
              <w:t>i Digital Miljöatlas</w:t>
            </w:r>
            <w:r w:rsidR="00E1043A" w:rsidRPr="00A061D7">
              <w:rPr>
                <w:rFonts w:ascii="Calibri" w:hAnsi="Calibri" w:cs="Calibri"/>
                <w:color w:val="000000"/>
              </w:rPr>
              <w:t xml:space="preserve"> </w:t>
            </w:r>
            <w:r w:rsidRPr="00A061D7">
              <w:rPr>
                <w:rFonts w:ascii="Calibri" w:hAnsi="Calibri" w:cs="Calibri"/>
                <w:color w:val="000000"/>
              </w:rPr>
              <w:t>efter behov</w:t>
            </w:r>
            <w:r>
              <w:rPr>
                <w:rFonts w:ascii="Calibri" w:hAnsi="Calibri" w:cs="Calibri"/>
                <w:color w:val="000000"/>
              </w:rPr>
              <w:t>.</w:t>
            </w:r>
            <w:r w:rsidRPr="00A061D7">
              <w:rPr>
                <w:rFonts w:ascii="Calibri" w:hAnsi="Calibri" w:cs="Calibri"/>
                <w:color w:val="000000"/>
              </w:rPr>
              <w:t xml:space="preserve"> </w:t>
            </w:r>
          </w:p>
        </w:tc>
        <w:tc>
          <w:tcPr>
            <w:tcW w:w="1997" w:type="dxa"/>
            <w:tcBorders>
              <w:top w:val="single" w:sz="4" w:space="0" w:color="auto"/>
              <w:left w:val="single" w:sz="4" w:space="0" w:color="auto"/>
              <w:bottom w:val="nil"/>
              <w:right w:val="nil"/>
            </w:tcBorders>
            <w:shd w:val="clear" w:color="auto" w:fill="auto"/>
          </w:tcPr>
          <w:p w14:paraId="2D7B3E4E" w14:textId="0C320B71" w:rsidR="00A061D7" w:rsidRPr="00A061D7" w:rsidRDefault="00A061D7" w:rsidP="00A061D7">
            <w:pPr>
              <w:rPr>
                <w:rFonts w:ascii="Calibri" w:hAnsi="Calibri" w:cs="Calibri"/>
                <w:b/>
                <w:bCs/>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tc>
      </w:tr>
    </w:tbl>
    <w:p w14:paraId="1765B04A" w14:textId="77777777" w:rsidR="0089675E" w:rsidRDefault="0089675E" w:rsidP="0089675E">
      <w:pPr>
        <w:pStyle w:val="Brdtext"/>
      </w:pPr>
    </w:p>
    <w:tbl>
      <w:tblPr>
        <w:tblStyle w:val="Tabellrutnt"/>
        <w:tblW w:w="0" w:type="auto"/>
        <w:tblLook w:val="04A0" w:firstRow="1" w:lastRow="0" w:firstColumn="1" w:lastColumn="0" w:noHBand="0" w:noVBand="1"/>
      </w:tblPr>
      <w:tblGrid>
        <w:gridCol w:w="5373"/>
        <w:gridCol w:w="1997"/>
      </w:tblGrid>
      <w:tr w:rsidR="000A1F49" w:rsidRPr="004563DF" w14:paraId="25130175" w14:textId="77777777" w:rsidTr="008A728D">
        <w:tc>
          <w:tcPr>
            <w:tcW w:w="7360" w:type="dxa"/>
            <w:gridSpan w:val="2"/>
            <w:tcBorders>
              <w:top w:val="nil"/>
              <w:left w:val="nil"/>
              <w:bottom w:val="nil"/>
              <w:right w:val="nil"/>
            </w:tcBorders>
            <w:shd w:val="clear" w:color="auto" w:fill="CC0000"/>
          </w:tcPr>
          <w:p w14:paraId="3CFF314C" w14:textId="524C0F78" w:rsidR="000A1F49" w:rsidRPr="008A728D" w:rsidRDefault="009F6D17" w:rsidP="008A728D">
            <w:pPr>
              <w:pStyle w:val="Liststycke"/>
              <w:numPr>
                <w:ilvl w:val="0"/>
                <w:numId w:val="86"/>
              </w:numPr>
              <w:rPr>
                <w:rFonts w:ascii="Calibri" w:hAnsi="Calibri" w:cs="Calibri"/>
                <w:b/>
                <w:bCs/>
                <w:color w:val="000000"/>
                <w:sz w:val="21"/>
                <w:szCs w:val="20"/>
              </w:rPr>
            </w:pPr>
            <w:r>
              <w:rPr>
                <w:rFonts w:ascii="Calibri" w:hAnsi="Calibri" w:cs="Calibri"/>
                <w:b/>
                <w:bCs/>
                <w:color w:val="000000"/>
              </w:rPr>
              <w:t>Lokal o</w:t>
            </w:r>
            <w:r w:rsidR="000A1F49" w:rsidRPr="00C90116">
              <w:rPr>
                <w:rFonts w:ascii="Calibri" w:hAnsi="Calibri" w:cs="Calibri"/>
                <w:b/>
                <w:bCs/>
                <w:color w:val="000000"/>
              </w:rPr>
              <w:t>ljeskyddsplanering</w:t>
            </w:r>
          </w:p>
        </w:tc>
      </w:tr>
      <w:tr w:rsidR="00A061D7" w:rsidRPr="004563DF" w14:paraId="75922CBE" w14:textId="77777777" w:rsidTr="008A3ECA">
        <w:trPr>
          <w:trHeight w:val="1102"/>
        </w:trPr>
        <w:tc>
          <w:tcPr>
            <w:tcW w:w="7360" w:type="dxa"/>
            <w:gridSpan w:val="2"/>
            <w:tcBorders>
              <w:top w:val="nil"/>
              <w:left w:val="nil"/>
              <w:bottom w:val="single" w:sz="4" w:space="0" w:color="auto"/>
              <w:right w:val="nil"/>
            </w:tcBorders>
            <w:shd w:val="clear" w:color="auto" w:fill="auto"/>
            <w:vAlign w:val="center"/>
          </w:tcPr>
          <w:p w14:paraId="0A967C71" w14:textId="0083A2B8" w:rsidR="00992CAE" w:rsidRDefault="00992CAE" w:rsidP="00992CAE">
            <w:pPr>
              <w:rPr>
                <w:rFonts w:ascii="Calibri" w:hAnsi="Calibri" w:cs="Calibri"/>
                <w:color w:val="000000"/>
                <w:sz w:val="22"/>
                <w:szCs w:val="22"/>
              </w:rPr>
            </w:pPr>
            <w:r w:rsidRPr="00992CAE">
              <w:rPr>
                <w:rFonts w:ascii="Calibri" w:hAnsi="Calibri" w:cs="Calibri"/>
                <w:color w:val="000000"/>
                <w:sz w:val="22"/>
                <w:szCs w:val="22"/>
              </w:rPr>
              <w:t xml:space="preserve">Kommunen har enligt lag (2003:778) om skydd mot olyckor (LSO) skyldighet att ha ett handlingsprogram som redogör för risker för olyckor som finns i kommunen och kan leda till räddningsinsatser. Programmet ska ange vilken förmåga kommunen har och avser skaffa sig. </w:t>
            </w:r>
          </w:p>
          <w:p w14:paraId="5506287C" w14:textId="77777777" w:rsidR="00992CAE" w:rsidRDefault="00992CAE" w:rsidP="00992CAE">
            <w:pPr>
              <w:rPr>
                <w:rFonts w:ascii="Calibri" w:hAnsi="Calibri" w:cs="Calibri"/>
                <w:color w:val="000000"/>
                <w:sz w:val="22"/>
                <w:szCs w:val="22"/>
              </w:rPr>
            </w:pPr>
          </w:p>
          <w:p w14:paraId="6530FE9C" w14:textId="6DE507F4" w:rsidR="009D0B19" w:rsidRDefault="009D0B19" w:rsidP="009D0B19">
            <w:pPr>
              <w:rPr>
                <w:rFonts w:ascii="Calibri" w:hAnsi="Calibri" w:cs="Calibri"/>
                <w:color w:val="000000"/>
                <w:sz w:val="22"/>
                <w:szCs w:val="22"/>
              </w:rPr>
            </w:pPr>
            <w:r w:rsidRPr="00992CAE">
              <w:rPr>
                <w:rFonts w:ascii="Calibri" w:hAnsi="Calibri" w:cs="Calibri"/>
                <w:color w:val="000000"/>
                <w:sz w:val="22"/>
                <w:szCs w:val="22"/>
              </w:rPr>
              <w:t xml:space="preserve">Fartygsolyckor till sjöss är komplexa, resurskrävande sällanhändelser. Sveriges strategi för oljeskadeskydd förespråkar därför regionalisering av arbetet med oljeskyddsberedskap, både vad gäller planering och förmågeutveckling. En regionalisering innebär inte att ansvar fråntas kommunen, men att planeringsarbete för oljeolyckor till sjöss genomförs i samverkan. </w:t>
            </w:r>
          </w:p>
          <w:p w14:paraId="066F128E" w14:textId="77777777" w:rsidR="009D0B19" w:rsidRDefault="009D0B19" w:rsidP="009D0B19">
            <w:pPr>
              <w:rPr>
                <w:rFonts w:ascii="Calibri" w:hAnsi="Calibri" w:cs="Calibri"/>
                <w:color w:val="000000"/>
              </w:rPr>
            </w:pPr>
          </w:p>
          <w:p w14:paraId="70C8401F" w14:textId="125D4F14" w:rsidR="00992CAE" w:rsidRDefault="00A061D7" w:rsidP="00A061D7">
            <w:pPr>
              <w:rPr>
                <w:rFonts w:ascii="Calibri" w:hAnsi="Calibri" w:cs="Calibri"/>
                <w:color w:val="000000"/>
              </w:rPr>
            </w:pPr>
            <w:r w:rsidRPr="00A061D7">
              <w:rPr>
                <w:rFonts w:ascii="Calibri" w:hAnsi="Calibri" w:cs="Calibri"/>
                <w:color w:val="000000"/>
                <w:sz w:val="22"/>
                <w:szCs w:val="22"/>
              </w:rPr>
              <w:t xml:space="preserve">Kommunerna med kust mot statligt vatten uppdaterar och implementerar den lokala </w:t>
            </w:r>
            <w:r w:rsidRPr="003C4BC0">
              <w:rPr>
                <w:rFonts w:ascii="Calibri" w:hAnsi="Calibri" w:cs="Calibri"/>
                <w:color w:val="000000"/>
                <w:sz w:val="22"/>
                <w:szCs w:val="22"/>
              </w:rPr>
              <w:t>oljeskyddsplaneringen som komplement till den regionala oljeskyddsplaneringen med Sveriges</w:t>
            </w:r>
            <w:r w:rsidRPr="004563DF">
              <w:rPr>
                <w:rFonts w:ascii="Calibri" w:hAnsi="Calibri" w:cs="Calibri"/>
                <w:color w:val="000000"/>
                <w:sz w:val="22"/>
                <w:szCs w:val="22"/>
              </w:rPr>
              <w:t xml:space="preserve"> strategi för oljeskadeskydd som utgångspunkt.</w:t>
            </w:r>
            <w:r>
              <w:rPr>
                <w:rFonts w:ascii="Calibri" w:hAnsi="Calibri" w:cs="Calibri"/>
                <w:color w:val="000000"/>
              </w:rPr>
              <w:t xml:space="preserve"> </w:t>
            </w:r>
          </w:p>
          <w:p w14:paraId="6C5E37DE" w14:textId="700B342D" w:rsidR="00A061D7" w:rsidRPr="007776F1" w:rsidRDefault="00A061D7" w:rsidP="009D0B19">
            <w:pPr>
              <w:rPr>
                <w:rFonts w:ascii="Calibri" w:hAnsi="Calibri" w:cs="Calibri"/>
                <w:color w:val="000000"/>
                <w:sz w:val="22"/>
                <w:szCs w:val="22"/>
                <w:highlight w:val="yellow"/>
              </w:rPr>
            </w:pPr>
          </w:p>
        </w:tc>
      </w:tr>
      <w:tr w:rsidR="00A061D7" w:rsidRPr="004563DF" w14:paraId="5A4A0549" w14:textId="7FAA40C2" w:rsidTr="00A061D7">
        <w:trPr>
          <w:trHeight w:val="467"/>
        </w:trPr>
        <w:tc>
          <w:tcPr>
            <w:tcW w:w="5411" w:type="dxa"/>
            <w:tcBorders>
              <w:top w:val="nil"/>
              <w:left w:val="nil"/>
              <w:bottom w:val="single" w:sz="4" w:space="0" w:color="auto"/>
              <w:right w:val="single" w:sz="4" w:space="0" w:color="auto"/>
            </w:tcBorders>
            <w:shd w:val="clear" w:color="auto" w:fill="F2DBDB" w:themeFill="accent2" w:themeFillTint="33"/>
          </w:tcPr>
          <w:p w14:paraId="652BBEF7" w14:textId="5DEA7327" w:rsidR="00A061D7" w:rsidRPr="00A061D7" w:rsidRDefault="00A061D7" w:rsidP="00A061D7">
            <w:pPr>
              <w:rPr>
                <w:rFonts w:ascii="Calibri" w:hAnsi="Calibri" w:cs="Calibri"/>
                <w:b/>
                <w:bCs/>
                <w:color w:val="000000"/>
              </w:rPr>
            </w:pPr>
            <w:r w:rsidRPr="000F2FCC">
              <w:rPr>
                <w:rFonts w:asciiTheme="minorHAnsi" w:hAnsiTheme="minorHAnsi" w:cstheme="minorHAnsi"/>
                <w:b/>
                <w:bCs/>
              </w:rPr>
              <w:t>Mätetal</w:t>
            </w:r>
          </w:p>
        </w:tc>
        <w:tc>
          <w:tcPr>
            <w:tcW w:w="1949" w:type="dxa"/>
            <w:tcBorders>
              <w:top w:val="nil"/>
              <w:left w:val="single" w:sz="4" w:space="0" w:color="auto"/>
              <w:bottom w:val="single" w:sz="4" w:space="0" w:color="auto"/>
              <w:right w:val="nil"/>
            </w:tcBorders>
            <w:shd w:val="clear" w:color="auto" w:fill="F2DBDB" w:themeFill="accent2" w:themeFillTint="33"/>
          </w:tcPr>
          <w:p w14:paraId="41835560" w14:textId="06151135" w:rsidR="00A061D7" w:rsidRPr="00A061D7" w:rsidRDefault="00A061D7" w:rsidP="00A061D7">
            <w:pPr>
              <w:rPr>
                <w:rFonts w:ascii="Calibri" w:hAnsi="Calibri" w:cs="Calibri"/>
                <w:b/>
                <w:bCs/>
                <w:color w:val="000000"/>
              </w:rPr>
            </w:pPr>
            <w:r w:rsidRPr="00D41EE6">
              <w:rPr>
                <w:rFonts w:asciiTheme="minorHAnsi" w:hAnsiTheme="minorHAnsi" w:cstheme="minorHAnsi"/>
                <w:b/>
                <w:bCs/>
              </w:rPr>
              <w:t>Uppföljning genom</w:t>
            </w:r>
          </w:p>
        </w:tc>
      </w:tr>
      <w:tr w:rsidR="00A061D7" w:rsidRPr="004563DF" w14:paraId="1D474D72" w14:textId="75EED251" w:rsidTr="008A3ECA">
        <w:trPr>
          <w:trHeight w:val="349"/>
        </w:trPr>
        <w:tc>
          <w:tcPr>
            <w:tcW w:w="5411" w:type="dxa"/>
            <w:tcBorders>
              <w:top w:val="single" w:sz="4" w:space="0" w:color="auto"/>
              <w:left w:val="nil"/>
              <w:bottom w:val="single" w:sz="4" w:space="0" w:color="auto"/>
              <w:right w:val="single" w:sz="4" w:space="0" w:color="auto"/>
            </w:tcBorders>
            <w:shd w:val="clear" w:color="auto" w:fill="auto"/>
            <w:vAlign w:val="center"/>
          </w:tcPr>
          <w:p w14:paraId="7DEA36DA" w14:textId="5F1198C6" w:rsidR="00A061D7" w:rsidRPr="007776F1" w:rsidRDefault="00A061D7" w:rsidP="00A061D7">
            <w:pPr>
              <w:rPr>
                <w:rFonts w:ascii="Calibri" w:hAnsi="Calibri" w:cs="Calibri"/>
                <w:color w:val="000000"/>
                <w:sz w:val="22"/>
                <w:szCs w:val="22"/>
                <w:highlight w:val="yellow"/>
              </w:rPr>
            </w:pPr>
            <w:r w:rsidRPr="00A061D7">
              <w:rPr>
                <w:rFonts w:ascii="Calibri" w:hAnsi="Calibri" w:cs="Calibri"/>
                <w:color w:val="000000"/>
              </w:rPr>
              <w:t>Alla kustkommuner har en lokal oljeskyddsplanering</w:t>
            </w:r>
            <w:r w:rsidR="00EB251C">
              <w:rPr>
                <w:rFonts w:ascii="Calibri" w:hAnsi="Calibri" w:cs="Calibri"/>
                <w:color w:val="000000"/>
              </w:rPr>
              <w:t>.</w:t>
            </w:r>
            <w:r>
              <w:rPr>
                <w:rFonts w:ascii="Calibri" w:hAnsi="Calibri" w:cs="Calibri"/>
                <w:color w:val="000000"/>
              </w:rPr>
              <w:t xml:space="preserve"> </w:t>
            </w:r>
          </w:p>
        </w:tc>
        <w:tc>
          <w:tcPr>
            <w:tcW w:w="1949" w:type="dxa"/>
            <w:tcBorders>
              <w:top w:val="single" w:sz="4" w:space="0" w:color="auto"/>
              <w:left w:val="single" w:sz="4" w:space="0" w:color="auto"/>
              <w:bottom w:val="single" w:sz="4" w:space="0" w:color="auto"/>
              <w:right w:val="nil"/>
            </w:tcBorders>
            <w:shd w:val="clear" w:color="auto" w:fill="auto"/>
            <w:vAlign w:val="center"/>
          </w:tcPr>
          <w:p w14:paraId="75E82B23" w14:textId="77777777" w:rsidR="00A061D7" w:rsidRDefault="00A061D7" w:rsidP="00A061D7">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6607715F" w14:textId="23AB18EE" w:rsidR="00A061D7" w:rsidRPr="007776F1" w:rsidRDefault="00A061D7" w:rsidP="00A061D7">
            <w:pPr>
              <w:rPr>
                <w:rFonts w:ascii="Calibri" w:hAnsi="Calibri" w:cs="Calibri"/>
                <w:color w:val="000000"/>
                <w:sz w:val="22"/>
                <w:szCs w:val="22"/>
                <w:highlight w:val="yellow"/>
              </w:rPr>
            </w:pPr>
          </w:p>
        </w:tc>
      </w:tr>
      <w:tr w:rsidR="00EB251C" w:rsidRPr="004563DF" w14:paraId="7EF774D3" w14:textId="77777777" w:rsidTr="008A3ECA">
        <w:trPr>
          <w:trHeight w:val="349"/>
        </w:trPr>
        <w:tc>
          <w:tcPr>
            <w:tcW w:w="5411" w:type="dxa"/>
            <w:tcBorders>
              <w:top w:val="single" w:sz="4" w:space="0" w:color="auto"/>
              <w:left w:val="nil"/>
              <w:bottom w:val="nil"/>
              <w:right w:val="single" w:sz="4" w:space="0" w:color="auto"/>
            </w:tcBorders>
            <w:shd w:val="clear" w:color="auto" w:fill="auto"/>
            <w:vAlign w:val="center"/>
          </w:tcPr>
          <w:p w14:paraId="548E25BC" w14:textId="5BCA25AF" w:rsidR="00EB251C" w:rsidRPr="00A061D7" w:rsidRDefault="00EB251C" w:rsidP="00A061D7">
            <w:pPr>
              <w:rPr>
                <w:rFonts w:ascii="Calibri" w:hAnsi="Calibri" w:cs="Calibri"/>
                <w:color w:val="000000"/>
              </w:rPr>
            </w:pPr>
            <w:r w:rsidRPr="00A061D7">
              <w:rPr>
                <w:rFonts w:ascii="Calibri" w:hAnsi="Calibri" w:cs="Calibri"/>
                <w:color w:val="000000"/>
              </w:rPr>
              <w:t xml:space="preserve">Alla kustkommuner </w:t>
            </w:r>
            <w:r w:rsidRPr="00400BFD">
              <w:rPr>
                <w:rFonts w:ascii="Calibri" w:hAnsi="Calibri" w:cs="Calibri"/>
                <w:color w:val="000000"/>
              </w:rPr>
              <w:t xml:space="preserve">har en </w:t>
            </w:r>
            <w:r w:rsidRPr="00150553">
              <w:rPr>
                <w:rFonts w:ascii="Calibri" w:hAnsi="Calibri" w:cs="Calibri"/>
                <w:color w:val="000000"/>
              </w:rPr>
              <w:t>plan</w:t>
            </w:r>
            <w:r>
              <w:rPr>
                <w:rFonts w:ascii="Calibri" w:hAnsi="Calibri" w:cs="Calibri"/>
                <w:color w:val="000000"/>
              </w:rPr>
              <w:t xml:space="preserve"> för uppföljning och revidering av oljeskyddsplaneringen. Revidering görs </w:t>
            </w:r>
            <w:r w:rsidRPr="00400BFD">
              <w:rPr>
                <w:rFonts w:ascii="Calibri" w:hAnsi="Calibri" w:cs="Calibri"/>
                <w:color w:val="000000"/>
              </w:rPr>
              <w:t>vid behov eller minst vart fjärde år</w:t>
            </w:r>
            <w:r>
              <w:rPr>
                <w:rFonts w:ascii="Calibri" w:hAnsi="Calibri" w:cs="Calibri"/>
                <w:color w:val="000000"/>
              </w:rPr>
              <w:t xml:space="preserve">. </w:t>
            </w:r>
          </w:p>
        </w:tc>
        <w:tc>
          <w:tcPr>
            <w:tcW w:w="1949" w:type="dxa"/>
            <w:tcBorders>
              <w:top w:val="single" w:sz="4" w:space="0" w:color="auto"/>
              <w:left w:val="single" w:sz="4" w:space="0" w:color="auto"/>
              <w:bottom w:val="nil"/>
              <w:right w:val="nil"/>
            </w:tcBorders>
            <w:shd w:val="clear" w:color="auto" w:fill="auto"/>
            <w:vAlign w:val="center"/>
          </w:tcPr>
          <w:p w14:paraId="40AAB3C9" w14:textId="77777777" w:rsidR="00EB251C" w:rsidRDefault="00EB251C" w:rsidP="00A061D7">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6C4A71AA" w14:textId="51979E8F" w:rsidR="00EB251C" w:rsidRPr="005B7472" w:rsidRDefault="00EB251C" w:rsidP="00A061D7">
            <w:pPr>
              <w:rPr>
                <w:rFonts w:ascii="Calibri" w:hAnsi="Calibri" w:cs="Calibri"/>
                <w:color w:val="000000"/>
              </w:rPr>
            </w:pPr>
          </w:p>
        </w:tc>
      </w:tr>
    </w:tbl>
    <w:p w14:paraId="48EB3244" w14:textId="77777777" w:rsidR="00147DEC" w:rsidRDefault="00147DEC">
      <w:pPr>
        <w:spacing w:line="240" w:lineRule="auto"/>
      </w:pPr>
      <w:r>
        <w:br w:type="page"/>
      </w:r>
    </w:p>
    <w:p w14:paraId="17AFE0D4" w14:textId="77777777" w:rsidR="00945FF8" w:rsidRDefault="00761D9F" w:rsidP="00456AB9">
      <w:pPr>
        <w:pStyle w:val="Rubrik2"/>
      </w:pPr>
      <w:bookmarkStart w:id="18" w:name="_Toc93561717"/>
      <w:r>
        <w:lastRenderedPageBreak/>
        <w:t xml:space="preserve">Fokusområde </w:t>
      </w:r>
      <w:r w:rsidR="00B6773C">
        <w:t>2</w:t>
      </w:r>
      <w:r>
        <w:t xml:space="preserve"> – </w:t>
      </w:r>
      <w:r w:rsidR="00945FF8" w:rsidRPr="00945FF8">
        <w:t>Utbildning, övning och utveckling</w:t>
      </w:r>
      <w:bookmarkEnd w:id="18"/>
      <w:r w:rsidR="00945FF8" w:rsidRPr="00945FF8">
        <w:t xml:space="preserve"> </w:t>
      </w:r>
    </w:p>
    <w:p w14:paraId="1FCA60B0" w14:textId="1703CD56" w:rsidR="00C2206F" w:rsidRDefault="00831061" w:rsidP="00945FF8">
      <w:pPr>
        <w:pStyle w:val="Brdtext"/>
      </w:pPr>
      <w:r>
        <w:t xml:space="preserve">Att </w:t>
      </w:r>
      <w:r w:rsidR="002927F1">
        <w:t>skapa och upprätthålla en grundläggande kompetensnivå hos alla berörda aktörer inom svenskt oljeskadeskydd har varit</w:t>
      </w:r>
      <w:r>
        <w:t xml:space="preserve"> en</w:t>
      </w:r>
      <w:r w:rsidR="002927F1">
        <w:t xml:space="preserve"> </w:t>
      </w:r>
      <w:r>
        <w:t>huvudprioritet</w:t>
      </w:r>
      <w:r w:rsidR="002927F1">
        <w:t xml:space="preserve"> sedan NSO:s första inriktningsdokument från 1984. </w:t>
      </w:r>
      <w:r w:rsidR="00C2206F">
        <w:t xml:space="preserve">Storskaliga olyckor inträffar sällan men de är komplexa och krävande händelser där drabbade kommuner </w:t>
      </w:r>
      <w:r w:rsidR="006D1519">
        <w:t>ofta saknar</w:t>
      </w:r>
      <w:r w:rsidR="00C2206F">
        <w:t xml:space="preserve"> tidigare erfarenheter att luta sig emot. Utbildning, övning och utveckling blir därför avgörande för att skapa och upprätthålla förmåga att hantera olyckor. Stora olyckor präglas av samverkansbehov och därför behöver satsningar göras på alla nivåer och i samverkan. </w:t>
      </w:r>
    </w:p>
    <w:p w14:paraId="350D7A37" w14:textId="7EA276DE" w:rsidR="00141871" w:rsidRDefault="00C2206F" w:rsidP="00945FF8">
      <w:pPr>
        <w:pStyle w:val="Brdtext"/>
      </w:pPr>
      <w:r>
        <w:t xml:space="preserve">Fokusområde 2 - </w:t>
      </w:r>
      <w:r w:rsidRPr="00945FF8">
        <w:t>Utbildning, övning och utveckling</w:t>
      </w:r>
      <w:r>
        <w:t xml:space="preserve"> står kvar sedan 2016-års handlingsplan medan många av åtgärderna har uppdaterats eller förtydligats. </w:t>
      </w:r>
      <w:r w:rsidR="00A67C69">
        <w:t xml:space="preserve">Åtgärderna </w:t>
      </w:r>
      <w:r w:rsidR="002C41F6">
        <w:t>bidra</w:t>
      </w:r>
      <w:r w:rsidR="00831061">
        <w:t>r</w:t>
      </w:r>
      <w:r w:rsidR="002C41F6">
        <w:t xml:space="preserve"> </w:t>
      </w:r>
      <w:r w:rsidR="00610A73">
        <w:t>till alla prioriterade områden och målsättningar som strategin anger.</w:t>
      </w:r>
      <w:r>
        <w:t xml:space="preserve"> </w:t>
      </w:r>
      <w:r w:rsidR="00610A73">
        <w:t xml:space="preserve"> </w:t>
      </w:r>
    </w:p>
    <w:p w14:paraId="5EBBA7B2" w14:textId="653AF77C" w:rsidR="00FB26A7" w:rsidRDefault="006C396F" w:rsidP="001A3840">
      <w:pPr>
        <w:pStyle w:val="Rubrik3"/>
      </w:pPr>
      <w:bookmarkStart w:id="19" w:name="_Toc93561718"/>
      <w:r>
        <w:t xml:space="preserve">Prioriterade åtgärder </w:t>
      </w:r>
      <w:r w:rsidR="00FB26A7">
        <w:t>på nationell nivå</w:t>
      </w:r>
      <w:bookmarkEnd w:id="19"/>
    </w:p>
    <w:tbl>
      <w:tblPr>
        <w:tblStyle w:val="Tabellrutnt"/>
        <w:tblW w:w="0" w:type="auto"/>
        <w:tblLook w:val="04A0" w:firstRow="1" w:lastRow="0" w:firstColumn="1" w:lastColumn="0" w:noHBand="0" w:noVBand="1"/>
      </w:tblPr>
      <w:tblGrid>
        <w:gridCol w:w="5245"/>
        <w:gridCol w:w="2115"/>
      </w:tblGrid>
      <w:tr w:rsidR="00FB26A7" w14:paraId="5C42E50D" w14:textId="77777777" w:rsidTr="001A3840">
        <w:tc>
          <w:tcPr>
            <w:tcW w:w="7360" w:type="dxa"/>
            <w:gridSpan w:val="2"/>
            <w:tcBorders>
              <w:top w:val="nil"/>
              <w:left w:val="nil"/>
              <w:bottom w:val="nil"/>
              <w:right w:val="nil"/>
            </w:tcBorders>
            <w:shd w:val="clear" w:color="auto" w:fill="B47D9A"/>
          </w:tcPr>
          <w:p w14:paraId="601D39E5" w14:textId="1F443E94" w:rsidR="00FB26A7" w:rsidRPr="004563DF" w:rsidRDefault="00FB26A7" w:rsidP="001A3840">
            <w:pPr>
              <w:pStyle w:val="Brdtext"/>
              <w:numPr>
                <w:ilvl w:val="0"/>
                <w:numId w:val="86"/>
              </w:numPr>
              <w:rPr>
                <w:rFonts w:asciiTheme="minorHAnsi" w:hAnsiTheme="minorHAnsi" w:cstheme="minorHAnsi"/>
                <w:b/>
                <w:bCs/>
              </w:rPr>
            </w:pPr>
            <w:r w:rsidRPr="00937907">
              <w:rPr>
                <w:rFonts w:ascii="Calibri" w:hAnsi="Calibri" w:cs="Calibri"/>
                <w:b/>
                <w:color w:val="000000"/>
                <w:sz w:val="22"/>
                <w:szCs w:val="22"/>
              </w:rPr>
              <w:t>Nationell utbildnings- och övnings</w:t>
            </w:r>
            <w:r>
              <w:rPr>
                <w:rFonts w:ascii="Calibri" w:hAnsi="Calibri" w:cs="Calibri"/>
                <w:b/>
                <w:color w:val="000000"/>
                <w:sz w:val="22"/>
                <w:szCs w:val="22"/>
              </w:rPr>
              <w:t>plan</w:t>
            </w:r>
            <w:r w:rsidR="00831061">
              <w:rPr>
                <w:rStyle w:val="Fotnotsreferens"/>
                <w:rFonts w:ascii="Calibri" w:hAnsi="Calibri" w:cs="Calibri"/>
                <w:b/>
                <w:color w:val="000000"/>
                <w:sz w:val="22"/>
                <w:szCs w:val="22"/>
              </w:rPr>
              <w:footnoteReference w:id="25"/>
            </w:r>
          </w:p>
        </w:tc>
      </w:tr>
      <w:tr w:rsidR="00FB26A7" w14:paraId="23FEBF25" w14:textId="77777777" w:rsidTr="008A3ECA">
        <w:trPr>
          <w:trHeight w:val="905"/>
        </w:trPr>
        <w:tc>
          <w:tcPr>
            <w:tcW w:w="7360" w:type="dxa"/>
            <w:gridSpan w:val="2"/>
            <w:tcBorders>
              <w:top w:val="nil"/>
              <w:left w:val="nil"/>
              <w:bottom w:val="single" w:sz="4" w:space="0" w:color="auto"/>
              <w:right w:val="nil"/>
            </w:tcBorders>
            <w:shd w:val="clear" w:color="auto" w:fill="auto"/>
          </w:tcPr>
          <w:p w14:paraId="5C28CAF3" w14:textId="169A8291" w:rsidR="00FF4768" w:rsidRPr="001A3840" w:rsidRDefault="00FB26A7" w:rsidP="00831061">
            <w:pPr>
              <w:rPr>
                <w:rFonts w:ascii="Calibri" w:hAnsi="Calibri" w:cs="Calibri"/>
                <w:color w:val="000000"/>
              </w:rPr>
            </w:pPr>
            <w:r>
              <w:rPr>
                <w:rFonts w:ascii="Calibri" w:hAnsi="Calibri" w:cs="Calibri"/>
                <w:color w:val="000000"/>
                <w:sz w:val="22"/>
                <w:szCs w:val="22"/>
              </w:rPr>
              <w:t xml:space="preserve">NSO </w:t>
            </w:r>
            <w:r w:rsidR="00DF5690">
              <w:rPr>
                <w:rFonts w:ascii="Calibri" w:hAnsi="Calibri" w:cs="Calibri"/>
                <w:color w:val="000000"/>
                <w:sz w:val="22"/>
                <w:szCs w:val="22"/>
              </w:rPr>
              <w:t xml:space="preserve">initierar </w:t>
            </w:r>
            <w:r w:rsidR="001A3840">
              <w:rPr>
                <w:rFonts w:ascii="Calibri" w:hAnsi="Calibri" w:cs="Calibri"/>
                <w:color w:val="000000"/>
                <w:sz w:val="22"/>
                <w:szCs w:val="22"/>
              </w:rPr>
              <w:t xml:space="preserve">arbetet med </w:t>
            </w:r>
            <w:r w:rsidR="00DF5690">
              <w:rPr>
                <w:rFonts w:ascii="Calibri" w:hAnsi="Calibri" w:cs="Calibri"/>
                <w:color w:val="000000"/>
                <w:sz w:val="22"/>
                <w:szCs w:val="22"/>
              </w:rPr>
              <w:t xml:space="preserve">att </w:t>
            </w:r>
            <w:r w:rsidR="005C45B4">
              <w:t xml:space="preserve">ta fram </w:t>
            </w:r>
            <w:r>
              <w:rPr>
                <w:rFonts w:ascii="Calibri" w:hAnsi="Calibri" w:cs="Calibri"/>
                <w:color w:val="000000"/>
                <w:sz w:val="22"/>
                <w:szCs w:val="22"/>
              </w:rPr>
              <w:t xml:space="preserve">en nationell utbildnings- och övningsplan. </w:t>
            </w:r>
            <w:r w:rsidR="00FC4CCE">
              <w:rPr>
                <w:rFonts w:ascii="Calibri" w:hAnsi="Calibri" w:cs="Calibri"/>
                <w:color w:val="000000"/>
                <w:sz w:val="22"/>
                <w:szCs w:val="22"/>
              </w:rPr>
              <w:t>U</w:t>
            </w:r>
            <w:r w:rsidR="00B51FC5">
              <w:rPr>
                <w:rFonts w:ascii="Calibri" w:hAnsi="Calibri" w:cs="Calibri"/>
                <w:color w:val="000000"/>
                <w:sz w:val="22"/>
                <w:szCs w:val="22"/>
              </w:rPr>
              <w:t>tbildnings- och övningsplanen</w:t>
            </w:r>
            <w:r w:rsidR="00FF4768">
              <w:rPr>
                <w:rFonts w:ascii="Calibri" w:hAnsi="Calibri" w:cs="Calibri"/>
                <w:color w:val="000000"/>
                <w:sz w:val="22"/>
                <w:szCs w:val="22"/>
              </w:rPr>
              <w:t xml:space="preserve"> </w:t>
            </w:r>
            <w:r w:rsidR="00FC4CCE">
              <w:rPr>
                <w:rFonts w:ascii="Calibri" w:hAnsi="Calibri" w:cs="Calibri"/>
                <w:color w:val="000000"/>
                <w:sz w:val="22"/>
                <w:szCs w:val="22"/>
              </w:rPr>
              <w:t xml:space="preserve">ska utvärderas och revideras </w:t>
            </w:r>
            <w:r w:rsidR="00FF4768">
              <w:rPr>
                <w:rFonts w:ascii="Calibri" w:hAnsi="Calibri" w:cs="Calibri"/>
                <w:color w:val="000000"/>
                <w:sz w:val="22"/>
                <w:szCs w:val="22"/>
              </w:rPr>
              <w:t xml:space="preserve">vart </w:t>
            </w:r>
            <w:r w:rsidR="00831061">
              <w:rPr>
                <w:rFonts w:ascii="Calibri" w:hAnsi="Calibri" w:cs="Calibri"/>
                <w:color w:val="000000"/>
                <w:sz w:val="22"/>
                <w:szCs w:val="22"/>
              </w:rPr>
              <w:t>fjärde</w:t>
            </w:r>
            <w:r w:rsidR="00FF4768">
              <w:rPr>
                <w:rFonts w:ascii="Calibri" w:hAnsi="Calibri" w:cs="Calibri"/>
                <w:color w:val="000000"/>
                <w:sz w:val="22"/>
                <w:szCs w:val="22"/>
              </w:rPr>
              <w:t xml:space="preserve"> år.</w:t>
            </w:r>
            <w:r w:rsidR="00831061">
              <w:rPr>
                <w:rFonts w:ascii="Calibri" w:hAnsi="Calibri" w:cs="Calibri"/>
                <w:color w:val="000000"/>
                <w:sz w:val="22"/>
                <w:szCs w:val="22"/>
              </w:rPr>
              <w:t xml:space="preserve">   </w:t>
            </w:r>
            <w:r>
              <w:rPr>
                <w:rFonts w:ascii="Calibri" w:hAnsi="Calibri" w:cs="Calibri"/>
                <w:color w:val="000000"/>
                <w:sz w:val="22"/>
                <w:szCs w:val="22"/>
              </w:rPr>
              <w:t xml:space="preserve">                 </w:t>
            </w:r>
          </w:p>
        </w:tc>
      </w:tr>
      <w:tr w:rsidR="00831061" w14:paraId="1CD7C434" w14:textId="5FDF5B14" w:rsidTr="00831061">
        <w:trPr>
          <w:trHeight w:val="548"/>
        </w:trPr>
        <w:tc>
          <w:tcPr>
            <w:tcW w:w="5245" w:type="dxa"/>
            <w:tcBorders>
              <w:top w:val="single" w:sz="4" w:space="0" w:color="auto"/>
              <w:left w:val="nil"/>
              <w:bottom w:val="single" w:sz="4" w:space="0" w:color="auto"/>
              <w:right w:val="single" w:sz="4" w:space="0" w:color="auto"/>
            </w:tcBorders>
            <w:shd w:val="clear" w:color="auto" w:fill="F2DBDB" w:themeFill="accent2" w:themeFillTint="33"/>
          </w:tcPr>
          <w:p w14:paraId="4740D27C" w14:textId="4240D17D" w:rsidR="00831061" w:rsidRPr="00831061" w:rsidRDefault="00831061" w:rsidP="00831061">
            <w:pPr>
              <w:rPr>
                <w:rFonts w:ascii="Calibri" w:hAnsi="Calibri" w:cs="Calibri"/>
                <w:color w:val="000000"/>
                <w:sz w:val="22"/>
                <w:szCs w:val="22"/>
              </w:rPr>
            </w:pPr>
            <w:r w:rsidRPr="000F2FCC">
              <w:rPr>
                <w:rFonts w:asciiTheme="minorHAnsi" w:hAnsiTheme="minorHAnsi" w:cstheme="minorHAnsi"/>
                <w:b/>
                <w:bCs/>
              </w:rPr>
              <w:t>Mätetal</w:t>
            </w:r>
          </w:p>
        </w:tc>
        <w:tc>
          <w:tcPr>
            <w:tcW w:w="2115" w:type="dxa"/>
            <w:tcBorders>
              <w:top w:val="single" w:sz="4" w:space="0" w:color="auto"/>
              <w:left w:val="single" w:sz="4" w:space="0" w:color="auto"/>
              <w:bottom w:val="single" w:sz="4" w:space="0" w:color="auto"/>
              <w:right w:val="nil"/>
            </w:tcBorders>
            <w:shd w:val="clear" w:color="auto" w:fill="F2DBDB" w:themeFill="accent2" w:themeFillTint="33"/>
          </w:tcPr>
          <w:p w14:paraId="16B5EB08" w14:textId="4BB18579" w:rsidR="00831061" w:rsidRPr="00831061" w:rsidRDefault="00831061" w:rsidP="00831061">
            <w:pPr>
              <w:rPr>
                <w:rFonts w:ascii="Calibri" w:hAnsi="Calibri" w:cs="Calibri"/>
                <w:color w:val="000000"/>
              </w:rPr>
            </w:pPr>
            <w:r w:rsidRPr="00D41EE6">
              <w:rPr>
                <w:rFonts w:asciiTheme="minorHAnsi" w:hAnsiTheme="minorHAnsi" w:cstheme="minorHAnsi"/>
                <w:b/>
                <w:bCs/>
              </w:rPr>
              <w:t>Uppföljning genom</w:t>
            </w:r>
          </w:p>
        </w:tc>
      </w:tr>
      <w:tr w:rsidR="00831061" w14:paraId="603D3E87" w14:textId="77777777" w:rsidTr="00E1043A">
        <w:trPr>
          <w:trHeight w:val="576"/>
        </w:trPr>
        <w:tc>
          <w:tcPr>
            <w:tcW w:w="5245" w:type="dxa"/>
            <w:tcBorders>
              <w:top w:val="single" w:sz="4" w:space="0" w:color="auto"/>
              <w:left w:val="nil"/>
              <w:bottom w:val="single" w:sz="4" w:space="0" w:color="auto"/>
              <w:right w:val="single" w:sz="4" w:space="0" w:color="auto"/>
            </w:tcBorders>
            <w:shd w:val="clear" w:color="auto" w:fill="auto"/>
          </w:tcPr>
          <w:p w14:paraId="1487B268" w14:textId="31485EB5" w:rsidR="00831061" w:rsidRDefault="00831061" w:rsidP="00831061">
            <w:pPr>
              <w:rPr>
                <w:rFonts w:ascii="Calibri" w:hAnsi="Calibri" w:cs="Calibri"/>
                <w:color w:val="000000"/>
              </w:rPr>
            </w:pPr>
            <w:r w:rsidRPr="00831061">
              <w:rPr>
                <w:rFonts w:ascii="Calibri" w:hAnsi="Calibri" w:cs="Calibri"/>
                <w:color w:val="000000"/>
              </w:rPr>
              <w:t>Framtagen nationell utbildnings- och övningsplan</w:t>
            </w:r>
            <w:r w:rsidR="00455C1C">
              <w:rPr>
                <w:rFonts w:ascii="Calibri" w:hAnsi="Calibri" w:cs="Calibri"/>
                <w:color w:val="000000"/>
              </w:rPr>
              <w:t>.</w:t>
            </w:r>
          </w:p>
          <w:p w14:paraId="5EB77799" w14:textId="4275456B" w:rsidR="00831061" w:rsidRPr="004563DF" w:rsidRDefault="00831061" w:rsidP="00831061">
            <w:pPr>
              <w:rPr>
                <w:rFonts w:ascii="Calibri" w:hAnsi="Calibri" w:cs="Calibri"/>
                <w:b/>
                <w:bCs/>
                <w:color w:val="000000"/>
              </w:rPr>
            </w:pPr>
          </w:p>
        </w:tc>
        <w:tc>
          <w:tcPr>
            <w:tcW w:w="2115" w:type="dxa"/>
            <w:tcBorders>
              <w:top w:val="single" w:sz="4" w:space="0" w:color="auto"/>
              <w:left w:val="single" w:sz="4" w:space="0" w:color="auto"/>
              <w:bottom w:val="single" w:sz="4" w:space="0" w:color="auto"/>
              <w:right w:val="nil"/>
            </w:tcBorders>
            <w:shd w:val="clear" w:color="auto" w:fill="auto"/>
          </w:tcPr>
          <w:p w14:paraId="3F740053" w14:textId="14B32D19" w:rsidR="00831061" w:rsidRPr="00831061" w:rsidRDefault="00831061" w:rsidP="00831061">
            <w:pPr>
              <w:rPr>
                <w:rFonts w:ascii="Calibri" w:hAnsi="Calibri" w:cs="Calibri"/>
                <w:color w:val="000000"/>
              </w:rPr>
            </w:pPr>
            <w:r>
              <w:rPr>
                <w:rFonts w:ascii="Calibri" w:hAnsi="Calibri" w:cs="Calibri"/>
                <w:color w:val="000000"/>
              </w:rPr>
              <w:t xml:space="preserve">NSO </w:t>
            </w:r>
          </w:p>
        </w:tc>
      </w:tr>
      <w:tr w:rsidR="00831061" w14:paraId="0EB07079" w14:textId="77777777" w:rsidTr="008A3ECA">
        <w:trPr>
          <w:trHeight w:val="574"/>
        </w:trPr>
        <w:tc>
          <w:tcPr>
            <w:tcW w:w="5245" w:type="dxa"/>
            <w:tcBorders>
              <w:top w:val="single" w:sz="4" w:space="0" w:color="auto"/>
              <w:left w:val="nil"/>
              <w:bottom w:val="nil"/>
              <w:right w:val="single" w:sz="4" w:space="0" w:color="auto"/>
            </w:tcBorders>
            <w:shd w:val="clear" w:color="auto" w:fill="auto"/>
          </w:tcPr>
          <w:p w14:paraId="1B90F7D5" w14:textId="79F1EC19" w:rsidR="00831061" w:rsidRPr="00831061" w:rsidRDefault="00831061" w:rsidP="00831061">
            <w:pPr>
              <w:rPr>
                <w:rFonts w:ascii="Calibri" w:hAnsi="Calibri" w:cs="Calibri"/>
                <w:color w:val="000000"/>
              </w:rPr>
            </w:pPr>
            <w:r w:rsidRPr="00831061">
              <w:rPr>
                <w:rFonts w:ascii="Calibri" w:hAnsi="Calibri" w:cs="Calibri"/>
                <w:color w:val="000000"/>
              </w:rPr>
              <w:t>Utvärdera och revidera utbildnings- och övningsplanen</w:t>
            </w:r>
            <w:r w:rsidR="00455C1C">
              <w:rPr>
                <w:rFonts w:ascii="Calibri" w:hAnsi="Calibri" w:cs="Calibri"/>
                <w:color w:val="000000"/>
              </w:rPr>
              <w:t>.</w:t>
            </w:r>
          </w:p>
        </w:tc>
        <w:tc>
          <w:tcPr>
            <w:tcW w:w="2115" w:type="dxa"/>
            <w:tcBorders>
              <w:top w:val="single" w:sz="4" w:space="0" w:color="auto"/>
              <w:left w:val="single" w:sz="4" w:space="0" w:color="auto"/>
              <w:bottom w:val="nil"/>
              <w:right w:val="nil"/>
            </w:tcBorders>
            <w:shd w:val="clear" w:color="auto" w:fill="auto"/>
          </w:tcPr>
          <w:p w14:paraId="23805E5A" w14:textId="4B7773D1" w:rsidR="00831061" w:rsidRPr="00831061" w:rsidRDefault="00831061" w:rsidP="00831061">
            <w:pPr>
              <w:rPr>
                <w:rFonts w:ascii="Calibri" w:hAnsi="Calibri" w:cs="Calibri"/>
                <w:color w:val="000000"/>
              </w:rPr>
            </w:pPr>
            <w:r>
              <w:rPr>
                <w:rFonts w:ascii="Calibri" w:hAnsi="Calibri" w:cs="Calibri"/>
                <w:color w:val="000000"/>
              </w:rPr>
              <w:t>NSO</w:t>
            </w:r>
          </w:p>
        </w:tc>
      </w:tr>
    </w:tbl>
    <w:p w14:paraId="291DCF93" w14:textId="4F8387FD" w:rsidR="00831061" w:rsidRDefault="00831061" w:rsidP="00FB26A7">
      <w:pPr>
        <w:pStyle w:val="Brdtext"/>
      </w:pPr>
    </w:p>
    <w:p w14:paraId="0404D905" w14:textId="77777777" w:rsidR="00831061" w:rsidRDefault="00831061">
      <w:pPr>
        <w:spacing w:line="240" w:lineRule="auto"/>
      </w:pPr>
      <w:r>
        <w:br w:type="page"/>
      </w:r>
    </w:p>
    <w:tbl>
      <w:tblPr>
        <w:tblStyle w:val="Tabellrutnt"/>
        <w:tblW w:w="0" w:type="auto"/>
        <w:tblLook w:val="04A0" w:firstRow="1" w:lastRow="0" w:firstColumn="1" w:lastColumn="0" w:noHBand="0" w:noVBand="1"/>
      </w:tblPr>
      <w:tblGrid>
        <w:gridCol w:w="5243"/>
        <w:gridCol w:w="2117"/>
      </w:tblGrid>
      <w:tr w:rsidR="00874E2A" w:rsidRPr="004563DF" w14:paraId="38CD71C4" w14:textId="77777777" w:rsidTr="001A3840">
        <w:tc>
          <w:tcPr>
            <w:tcW w:w="7360" w:type="dxa"/>
            <w:gridSpan w:val="2"/>
            <w:tcBorders>
              <w:top w:val="nil"/>
              <w:left w:val="nil"/>
              <w:bottom w:val="nil"/>
              <w:right w:val="nil"/>
            </w:tcBorders>
            <w:shd w:val="clear" w:color="auto" w:fill="B47D9A"/>
          </w:tcPr>
          <w:p w14:paraId="7A981E40" w14:textId="6E86CEB7" w:rsidR="00874E2A" w:rsidRPr="001A3840" w:rsidRDefault="00141871" w:rsidP="001A3840">
            <w:pPr>
              <w:pStyle w:val="Liststycke"/>
              <w:numPr>
                <w:ilvl w:val="0"/>
                <w:numId w:val="86"/>
              </w:numPr>
              <w:rPr>
                <w:rFonts w:ascii="Calibri" w:hAnsi="Calibri" w:cs="Calibri"/>
                <w:b/>
                <w:bCs/>
                <w:color w:val="000000"/>
              </w:rPr>
            </w:pPr>
            <w:r w:rsidRPr="001A3840">
              <w:rPr>
                <w:rFonts w:ascii="Calibri" w:hAnsi="Calibri" w:cs="Calibri"/>
                <w:b/>
                <w:bCs/>
                <w:color w:val="000000"/>
              </w:rPr>
              <w:lastRenderedPageBreak/>
              <w:t>Testa förmågan skarpt</w:t>
            </w:r>
            <w:r w:rsidR="008227B7">
              <w:rPr>
                <w:rFonts w:ascii="Calibri" w:hAnsi="Calibri" w:cs="Calibri"/>
                <w:b/>
                <w:bCs/>
                <w:color w:val="000000"/>
              </w:rPr>
              <w:t xml:space="preserve"> på nationell nivå</w:t>
            </w:r>
            <w:r w:rsidR="00342B9F">
              <w:rPr>
                <w:rStyle w:val="Fotnotsreferens"/>
                <w:rFonts w:ascii="Calibri" w:hAnsi="Calibri" w:cs="Calibri"/>
                <w:b/>
                <w:bCs/>
                <w:color w:val="000000"/>
              </w:rPr>
              <w:footnoteReference w:id="26"/>
            </w:r>
          </w:p>
        </w:tc>
      </w:tr>
      <w:tr w:rsidR="00874E2A" w:rsidRPr="004563DF" w14:paraId="4F7109E1" w14:textId="77777777" w:rsidTr="008A3ECA">
        <w:trPr>
          <w:trHeight w:val="563"/>
        </w:trPr>
        <w:tc>
          <w:tcPr>
            <w:tcW w:w="7360" w:type="dxa"/>
            <w:gridSpan w:val="2"/>
            <w:tcBorders>
              <w:top w:val="nil"/>
              <w:left w:val="nil"/>
              <w:bottom w:val="single" w:sz="4" w:space="0" w:color="auto"/>
              <w:right w:val="nil"/>
            </w:tcBorders>
            <w:shd w:val="clear" w:color="auto" w:fill="auto"/>
          </w:tcPr>
          <w:p w14:paraId="1B49956A" w14:textId="5CED6479" w:rsidR="00F9255D" w:rsidRDefault="00342B9F" w:rsidP="00831061">
            <w:pPr>
              <w:rPr>
                <w:rFonts w:ascii="Calibri" w:hAnsi="Calibri" w:cs="Calibri"/>
                <w:color w:val="000000"/>
                <w:sz w:val="22"/>
                <w:szCs w:val="22"/>
              </w:rPr>
            </w:pPr>
            <w:r>
              <w:rPr>
                <w:rFonts w:ascii="Calibri" w:hAnsi="Calibri" w:cs="Calibri"/>
                <w:color w:val="000000"/>
                <w:sz w:val="22"/>
                <w:szCs w:val="22"/>
              </w:rPr>
              <w:t xml:space="preserve">Förmågan behöver regelbundet säkerställas genom att testas skarpt. Det kan antingen göras i samband med verkliga olyckor eller i en övning. Den nationella utbildnings- och övningsplanen ger övergripande inriktning till aktörernas övningsverksamhet. </w:t>
            </w:r>
            <w:r w:rsidR="00A80934">
              <w:rPr>
                <w:rFonts w:ascii="Calibri" w:hAnsi="Calibri" w:cs="Calibri"/>
                <w:color w:val="000000"/>
                <w:sz w:val="22"/>
                <w:szCs w:val="22"/>
              </w:rPr>
              <w:t>Testning genom inträffade olyckor och insatser kan ersätta planerade övningar.</w:t>
            </w:r>
          </w:p>
          <w:p w14:paraId="1D2EF992" w14:textId="77777777" w:rsidR="0023305C" w:rsidRDefault="0023305C" w:rsidP="00831061">
            <w:pPr>
              <w:rPr>
                <w:rFonts w:ascii="Calibri" w:hAnsi="Calibri" w:cs="Calibri"/>
                <w:color w:val="000000"/>
                <w:sz w:val="22"/>
                <w:szCs w:val="22"/>
              </w:rPr>
            </w:pPr>
          </w:p>
          <w:p w14:paraId="4B9620C9" w14:textId="7705D2A6" w:rsidR="0023305C" w:rsidRDefault="0023305C" w:rsidP="00831061">
            <w:pPr>
              <w:rPr>
                <w:rFonts w:ascii="Calibri" w:hAnsi="Calibri" w:cs="Calibri"/>
                <w:color w:val="000000"/>
                <w:sz w:val="22"/>
                <w:szCs w:val="22"/>
              </w:rPr>
            </w:pPr>
            <w:r>
              <w:rPr>
                <w:rFonts w:ascii="Calibri" w:hAnsi="Calibri" w:cs="Calibri"/>
                <w:color w:val="000000"/>
              </w:rPr>
              <w:t xml:space="preserve">Den </w:t>
            </w:r>
            <w:r>
              <w:rPr>
                <w:rFonts w:ascii="Calibri" w:hAnsi="Calibri" w:cs="Calibri"/>
                <w:color w:val="000000"/>
                <w:sz w:val="22"/>
                <w:szCs w:val="22"/>
              </w:rPr>
              <w:t xml:space="preserve">nationella utbildnings- och övningsplanen integreras i myndigheternas övningsplanering. </w:t>
            </w:r>
          </w:p>
          <w:p w14:paraId="3C923110" w14:textId="304BD9A5" w:rsidR="00561912" w:rsidRPr="00831061" w:rsidRDefault="00031178" w:rsidP="00342B9F">
            <w:pPr>
              <w:rPr>
                <w:rFonts w:ascii="Calibri" w:hAnsi="Calibri" w:cs="Calibri"/>
                <w:color w:val="000000"/>
                <w:sz w:val="22"/>
                <w:szCs w:val="22"/>
              </w:rPr>
            </w:pPr>
            <w:r>
              <w:rPr>
                <w:rFonts w:ascii="Calibri" w:hAnsi="Calibri" w:cs="Calibri"/>
                <w:color w:val="000000"/>
                <w:sz w:val="22"/>
                <w:szCs w:val="22"/>
              </w:rPr>
              <w:t xml:space="preserve"> </w:t>
            </w:r>
          </w:p>
        </w:tc>
      </w:tr>
      <w:tr w:rsidR="00831061" w:rsidRPr="004563DF" w14:paraId="04C88DB2" w14:textId="3B36D13D" w:rsidTr="00831061">
        <w:trPr>
          <w:trHeight w:val="203"/>
        </w:trPr>
        <w:tc>
          <w:tcPr>
            <w:tcW w:w="5243" w:type="dxa"/>
            <w:tcBorders>
              <w:top w:val="single" w:sz="4" w:space="0" w:color="auto"/>
              <w:left w:val="nil"/>
              <w:bottom w:val="single" w:sz="4" w:space="0" w:color="auto"/>
              <w:right w:val="single" w:sz="4" w:space="0" w:color="auto"/>
            </w:tcBorders>
            <w:shd w:val="clear" w:color="auto" w:fill="F2DBDB" w:themeFill="accent2" w:themeFillTint="33"/>
          </w:tcPr>
          <w:p w14:paraId="1BAE3233" w14:textId="4DF0480D" w:rsidR="00831061" w:rsidRDefault="00831061" w:rsidP="00831061">
            <w:pPr>
              <w:rPr>
                <w:rFonts w:ascii="Calibri" w:hAnsi="Calibri" w:cs="Calibri"/>
                <w:color w:val="000000"/>
                <w:sz w:val="22"/>
                <w:szCs w:val="22"/>
              </w:rPr>
            </w:pPr>
            <w:r w:rsidRPr="000F2FCC">
              <w:rPr>
                <w:rFonts w:asciiTheme="minorHAnsi" w:hAnsiTheme="minorHAnsi" w:cstheme="minorHAnsi"/>
                <w:b/>
                <w:bCs/>
              </w:rPr>
              <w:t>Mätetal</w:t>
            </w:r>
          </w:p>
        </w:tc>
        <w:tc>
          <w:tcPr>
            <w:tcW w:w="2117" w:type="dxa"/>
            <w:tcBorders>
              <w:top w:val="single" w:sz="4" w:space="0" w:color="auto"/>
              <w:left w:val="single" w:sz="4" w:space="0" w:color="auto"/>
              <w:bottom w:val="single" w:sz="4" w:space="0" w:color="auto"/>
              <w:right w:val="nil"/>
            </w:tcBorders>
            <w:shd w:val="clear" w:color="auto" w:fill="F2DBDB" w:themeFill="accent2" w:themeFillTint="33"/>
          </w:tcPr>
          <w:p w14:paraId="0B17D31B" w14:textId="77777777" w:rsidR="00831061" w:rsidRDefault="00831061" w:rsidP="00831061">
            <w:pPr>
              <w:rPr>
                <w:rFonts w:asciiTheme="minorHAnsi" w:hAnsiTheme="minorHAnsi" w:cstheme="minorHAnsi"/>
                <w:b/>
                <w:bCs/>
              </w:rPr>
            </w:pPr>
            <w:r w:rsidRPr="00D41EE6">
              <w:rPr>
                <w:rFonts w:asciiTheme="minorHAnsi" w:hAnsiTheme="minorHAnsi" w:cstheme="minorHAnsi"/>
                <w:b/>
                <w:bCs/>
              </w:rPr>
              <w:t>Uppföljning genom</w:t>
            </w:r>
          </w:p>
          <w:p w14:paraId="4105D3FF" w14:textId="0BB07226" w:rsidR="00831061" w:rsidRPr="00831061" w:rsidRDefault="00831061" w:rsidP="00831061">
            <w:pPr>
              <w:rPr>
                <w:rFonts w:ascii="Calibri" w:hAnsi="Calibri" w:cs="Calibri"/>
                <w:color w:val="000000"/>
              </w:rPr>
            </w:pPr>
          </w:p>
        </w:tc>
      </w:tr>
      <w:tr w:rsidR="00831061" w:rsidRPr="004563DF" w14:paraId="081370A2" w14:textId="77777777" w:rsidTr="008A3ECA">
        <w:trPr>
          <w:trHeight w:val="540"/>
        </w:trPr>
        <w:tc>
          <w:tcPr>
            <w:tcW w:w="5243" w:type="dxa"/>
            <w:tcBorders>
              <w:top w:val="single" w:sz="4" w:space="0" w:color="auto"/>
              <w:left w:val="nil"/>
              <w:bottom w:val="single" w:sz="4" w:space="0" w:color="auto"/>
              <w:right w:val="single" w:sz="4" w:space="0" w:color="auto"/>
            </w:tcBorders>
            <w:shd w:val="clear" w:color="auto" w:fill="auto"/>
          </w:tcPr>
          <w:p w14:paraId="32AA681E" w14:textId="308323D3" w:rsidR="00831061" w:rsidRPr="00EF44E6" w:rsidRDefault="00F9255D" w:rsidP="00F9255D">
            <w:pPr>
              <w:rPr>
                <w:rFonts w:ascii="Calibri" w:hAnsi="Calibri" w:cs="Calibri"/>
                <w:color w:val="000000"/>
                <w:szCs w:val="21"/>
              </w:rPr>
            </w:pPr>
            <w:r w:rsidRPr="00EF44E6">
              <w:rPr>
                <w:rFonts w:ascii="Calibri" w:hAnsi="Calibri" w:cs="Calibri"/>
                <w:color w:val="000000"/>
                <w:szCs w:val="21"/>
              </w:rPr>
              <w:t>Den nationella förmågan testas i enlighet med den nationella utbildnings- och övningsplanen</w:t>
            </w:r>
            <w:r w:rsidR="003F2E7D" w:rsidRPr="00EF44E6">
              <w:rPr>
                <w:rFonts w:ascii="Calibri" w:hAnsi="Calibri" w:cs="Calibri"/>
                <w:color w:val="000000"/>
                <w:szCs w:val="21"/>
              </w:rPr>
              <w:t>.</w:t>
            </w:r>
            <w:r w:rsidRPr="00EF44E6">
              <w:rPr>
                <w:rFonts w:ascii="Calibri" w:hAnsi="Calibri" w:cs="Calibri"/>
                <w:color w:val="000000"/>
                <w:szCs w:val="21"/>
              </w:rPr>
              <w:t xml:space="preserve">  </w:t>
            </w:r>
          </w:p>
          <w:p w14:paraId="3865B97C" w14:textId="1B3746F8" w:rsidR="00F9255D" w:rsidRPr="00831061" w:rsidRDefault="00F9255D" w:rsidP="00F9255D">
            <w:pPr>
              <w:rPr>
                <w:rFonts w:asciiTheme="minorHAnsi" w:hAnsiTheme="minorHAnsi" w:cstheme="minorHAnsi"/>
                <w:b/>
                <w:bCs/>
              </w:rPr>
            </w:pPr>
          </w:p>
        </w:tc>
        <w:tc>
          <w:tcPr>
            <w:tcW w:w="2117" w:type="dxa"/>
            <w:tcBorders>
              <w:top w:val="single" w:sz="4" w:space="0" w:color="auto"/>
              <w:left w:val="single" w:sz="4" w:space="0" w:color="auto"/>
              <w:bottom w:val="single" w:sz="4" w:space="0" w:color="auto"/>
              <w:right w:val="nil"/>
            </w:tcBorders>
            <w:shd w:val="clear" w:color="auto" w:fill="auto"/>
          </w:tcPr>
          <w:p w14:paraId="426E8B07" w14:textId="544F013C" w:rsidR="00831061" w:rsidRDefault="00F9255D" w:rsidP="00F9255D">
            <w:pPr>
              <w:rPr>
                <w:rFonts w:ascii="Calibri" w:hAnsi="Calibri" w:cs="Calibri"/>
                <w:color w:val="000000"/>
              </w:rPr>
            </w:pPr>
            <w:r>
              <w:rPr>
                <w:rFonts w:ascii="Calibri" w:hAnsi="Calibri" w:cs="Calibri"/>
                <w:color w:val="000000"/>
              </w:rPr>
              <w:t>NSO</w:t>
            </w:r>
            <w:r w:rsidR="00A07A98">
              <w:rPr>
                <w:rFonts w:ascii="Calibri" w:hAnsi="Calibri" w:cs="Calibri"/>
                <w:color w:val="000000"/>
              </w:rPr>
              <w:t xml:space="preserve"> kan vid behov initiera extra nationella övningar. </w:t>
            </w:r>
          </w:p>
          <w:p w14:paraId="3189A1DD" w14:textId="63E77B35" w:rsidR="00F9255D" w:rsidRPr="00831061" w:rsidRDefault="00F9255D" w:rsidP="00F9255D">
            <w:pPr>
              <w:rPr>
                <w:rFonts w:ascii="Calibri" w:hAnsi="Calibri" w:cs="Calibri"/>
                <w:color w:val="000000"/>
              </w:rPr>
            </w:pPr>
          </w:p>
        </w:tc>
      </w:tr>
      <w:tr w:rsidR="00831061" w:rsidRPr="004563DF" w14:paraId="0CFAC7B1" w14:textId="77777777" w:rsidTr="008A3ECA">
        <w:trPr>
          <w:trHeight w:val="675"/>
        </w:trPr>
        <w:tc>
          <w:tcPr>
            <w:tcW w:w="5243" w:type="dxa"/>
            <w:tcBorders>
              <w:top w:val="single" w:sz="4" w:space="0" w:color="auto"/>
              <w:left w:val="nil"/>
              <w:bottom w:val="nil"/>
              <w:right w:val="single" w:sz="4" w:space="0" w:color="auto"/>
            </w:tcBorders>
            <w:shd w:val="clear" w:color="auto" w:fill="auto"/>
          </w:tcPr>
          <w:p w14:paraId="7B9447E8" w14:textId="32022920" w:rsidR="00831061" w:rsidRPr="00831061" w:rsidRDefault="00831061" w:rsidP="00831061">
            <w:pPr>
              <w:rPr>
                <w:rFonts w:ascii="Calibri" w:hAnsi="Calibri" w:cs="Calibri"/>
                <w:color w:val="000000"/>
              </w:rPr>
            </w:pPr>
            <w:r w:rsidRPr="00831061">
              <w:rPr>
                <w:rFonts w:ascii="Calibri" w:hAnsi="Calibri" w:cs="Calibri"/>
                <w:color w:val="000000"/>
              </w:rPr>
              <w:t>Övningarna</w:t>
            </w:r>
            <w:r w:rsidR="00F9255D">
              <w:rPr>
                <w:rFonts w:ascii="Calibri" w:hAnsi="Calibri" w:cs="Calibri"/>
                <w:color w:val="000000"/>
              </w:rPr>
              <w:t xml:space="preserve"> eller händelserna</w:t>
            </w:r>
            <w:r w:rsidRPr="00831061">
              <w:rPr>
                <w:rFonts w:ascii="Calibri" w:hAnsi="Calibri" w:cs="Calibri"/>
                <w:color w:val="000000"/>
              </w:rPr>
              <w:t xml:space="preserve"> utvärderas</w:t>
            </w:r>
            <w:r w:rsidR="003F2E7D">
              <w:rPr>
                <w:rFonts w:ascii="Calibri" w:hAnsi="Calibri" w:cs="Calibri"/>
                <w:color w:val="000000"/>
              </w:rPr>
              <w:t>.</w:t>
            </w:r>
            <w:r w:rsidRPr="00831061">
              <w:rPr>
                <w:rFonts w:ascii="Calibri" w:hAnsi="Calibri" w:cs="Calibri"/>
                <w:color w:val="000000"/>
              </w:rPr>
              <w:t xml:space="preserve"> </w:t>
            </w:r>
          </w:p>
        </w:tc>
        <w:tc>
          <w:tcPr>
            <w:tcW w:w="2117" w:type="dxa"/>
            <w:tcBorders>
              <w:top w:val="single" w:sz="4" w:space="0" w:color="auto"/>
              <w:left w:val="single" w:sz="4" w:space="0" w:color="auto"/>
              <w:bottom w:val="nil"/>
              <w:right w:val="nil"/>
            </w:tcBorders>
            <w:shd w:val="clear" w:color="auto" w:fill="auto"/>
          </w:tcPr>
          <w:p w14:paraId="4CA08F19" w14:textId="38A2ABC9" w:rsidR="00F9255D" w:rsidRDefault="00F9255D" w:rsidP="00831061">
            <w:pPr>
              <w:rPr>
                <w:rFonts w:ascii="Calibri" w:hAnsi="Calibri" w:cs="Calibri"/>
                <w:color w:val="000000"/>
              </w:rPr>
            </w:pPr>
            <w:r>
              <w:rPr>
                <w:rFonts w:ascii="Calibri" w:hAnsi="Calibri" w:cs="Calibri"/>
                <w:color w:val="000000"/>
              </w:rPr>
              <w:t>NSO säkerställer att utvärdering görs av ansvarig</w:t>
            </w:r>
            <w:r w:rsidR="00A07A98">
              <w:rPr>
                <w:rFonts w:ascii="Calibri" w:hAnsi="Calibri" w:cs="Calibri"/>
                <w:color w:val="000000"/>
              </w:rPr>
              <w:t>a</w:t>
            </w:r>
            <w:r>
              <w:rPr>
                <w:rFonts w:ascii="Calibri" w:hAnsi="Calibri" w:cs="Calibri"/>
                <w:color w:val="000000"/>
              </w:rPr>
              <w:t xml:space="preserve"> aktör</w:t>
            </w:r>
            <w:r w:rsidR="00A07A98">
              <w:rPr>
                <w:rFonts w:ascii="Calibri" w:hAnsi="Calibri" w:cs="Calibri"/>
                <w:color w:val="000000"/>
              </w:rPr>
              <w:t>er</w:t>
            </w:r>
            <w:r>
              <w:rPr>
                <w:rFonts w:ascii="Calibri" w:hAnsi="Calibri" w:cs="Calibri"/>
                <w:color w:val="000000"/>
              </w:rPr>
              <w:t xml:space="preserve">. </w:t>
            </w:r>
          </w:p>
          <w:p w14:paraId="029799FA" w14:textId="3768DAD9" w:rsidR="00F9255D" w:rsidRPr="00831061" w:rsidRDefault="00F9255D" w:rsidP="00831061">
            <w:pPr>
              <w:rPr>
                <w:rFonts w:ascii="Calibri" w:hAnsi="Calibri" w:cs="Calibri"/>
                <w:color w:val="000000"/>
              </w:rPr>
            </w:pPr>
          </w:p>
        </w:tc>
      </w:tr>
    </w:tbl>
    <w:p w14:paraId="6241DAE2" w14:textId="77777777" w:rsidR="00A0196E" w:rsidRDefault="00A0196E" w:rsidP="00A0196E">
      <w:pPr>
        <w:pStyle w:val="Brdtext"/>
      </w:pPr>
    </w:p>
    <w:p w14:paraId="0B199080" w14:textId="77777777" w:rsidR="00943CA0" w:rsidRDefault="00943CA0">
      <w:pPr>
        <w:pStyle w:val="Rubrik3"/>
      </w:pPr>
      <w:r>
        <w:br w:type="page"/>
      </w:r>
    </w:p>
    <w:p w14:paraId="54BD0B6D" w14:textId="6486312E" w:rsidR="00A0196E" w:rsidRPr="00A0196E" w:rsidRDefault="00A0196E">
      <w:pPr>
        <w:pStyle w:val="Rubrik3"/>
      </w:pPr>
      <w:bookmarkStart w:id="20" w:name="_Toc93561719"/>
      <w:r>
        <w:lastRenderedPageBreak/>
        <w:t>Prioriterade åtgärder på regional nivå</w:t>
      </w:r>
      <w:bookmarkEnd w:id="20"/>
    </w:p>
    <w:p w14:paraId="4FB6E60F" w14:textId="77777777" w:rsidR="00F46851" w:rsidRDefault="00F46851" w:rsidP="00F46851">
      <w:pPr>
        <w:pStyle w:val="Brdtext"/>
      </w:pPr>
    </w:p>
    <w:tbl>
      <w:tblPr>
        <w:tblStyle w:val="Tabellrutnt"/>
        <w:tblW w:w="0" w:type="auto"/>
        <w:tblLook w:val="04A0" w:firstRow="1" w:lastRow="0" w:firstColumn="1" w:lastColumn="0" w:noHBand="0" w:noVBand="1"/>
      </w:tblPr>
      <w:tblGrid>
        <w:gridCol w:w="5220"/>
        <w:gridCol w:w="2140"/>
      </w:tblGrid>
      <w:tr w:rsidR="00F46851" w:rsidRPr="004563DF" w14:paraId="683C3653" w14:textId="77777777" w:rsidTr="00561912">
        <w:tc>
          <w:tcPr>
            <w:tcW w:w="7360" w:type="dxa"/>
            <w:gridSpan w:val="2"/>
            <w:tcBorders>
              <w:top w:val="nil"/>
              <w:left w:val="nil"/>
              <w:bottom w:val="nil"/>
              <w:right w:val="nil"/>
            </w:tcBorders>
            <w:shd w:val="clear" w:color="auto" w:fill="9A4C6F"/>
          </w:tcPr>
          <w:p w14:paraId="36A4B839" w14:textId="5342E871" w:rsidR="00F46851" w:rsidRPr="004563DF" w:rsidRDefault="00F46851" w:rsidP="00B5108E">
            <w:pPr>
              <w:pStyle w:val="Brdtext"/>
              <w:numPr>
                <w:ilvl w:val="0"/>
                <w:numId w:val="86"/>
              </w:numPr>
              <w:rPr>
                <w:rFonts w:asciiTheme="minorHAnsi" w:hAnsiTheme="minorHAnsi" w:cstheme="minorHAnsi"/>
                <w:b/>
                <w:bCs/>
              </w:rPr>
            </w:pPr>
            <w:r w:rsidRPr="00937907">
              <w:rPr>
                <w:rFonts w:ascii="Calibri" w:hAnsi="Calibri" w:cs="Calibri"/>
                <w:b/>
                <w:color w:val="000000"/>
                <w:sz w:val="22"/>
                <w:szCs w:val="22"/>
              </w:rPr>
              <w:t>Samordnad regional förmåga</w:t>
            </w:r>
            <w:r w:rsidR="0023305C">
              <w:rPr>
                <w:rStyle w:val="Fotnotsreferens"/>
                <w:rFonts w:ascii="Calibri" w:hAnsi="Calibri" w:cs="Calibri"/>
                <w:b/>
                <w:color w:val="000000"/>
                <w:sz w:val="22"/>
                <w:szCs w:val="22"/>
              </w:rPr>
              <w:footnoteReference w:id="27"/>
            </w:r>
          </w:p>
        </w:tc>
      </w:tr>
      <w:tr w:rsidR="00F46851" w:rsidRPr="004563DF" w14:paraId="67E86518" w14:textId="77777777" w:rsidTr="008A3ECA">
        <w:trPr>
          <w:trHeight w:val="1384"/>
        </w:trPr>
        <w:tc>
          <w:tcPr>
            <w:tcW w:w="7360" w:type="dxa"/>
            <w:gridSpan w:val="2"/>
            <w:tcBorders>
              <w:top w:val="nil"/>
              <w:left w:val="nil"/>
              <w:bottom w:val="single" w:sz="4" w:space="0" w:color="auto"/>
              <w:right w:val="nil"/>
            </w:tcBorders>
            <w:shd w:val="clear" w:color="auto" w:fill="auto"/>
          </w:tcPr>
          <w:p w14:paraId="36EEAEC8" w14:textId="60F19608" w:rsidR="00122C6D" w:rsidRDefault="00122C6D" w:rsidP="00F46851">
            <w:pPr>
              <w:rPr>
                <w:rFonts w:ascii="Calibri" w:hAnsi="Calibri" w:cs="Calibri"/>
                <w:color w:val="000000"/>
                <w:sz w:val="22"/>
                <w:szCs w:val="22"/>
              </w:rPr>
            </w:pPr>
            <w:r>
              <w:rPr>
                <w:rFonts w:ascii="Calibri" w:hAnsi="Calibri" w:cs="Calibri"/>
                <w:color w:val="000000"/>
              </w:rPr>
              <w:t xml:space="preserve">Länsstyrelser med kust mot statligt vatten </w:t>
            </w:r>
            <w:r w:rsidR="00F46851">
              <w:rPr>
                <w:rFonts w:ascii="Calibri" w:hAnsi="Calibri" w:cs="Calibri"/>
                <w:color w:val="000000"/>
                <w:sz w:val="22"/>
                <w:szCs w:val="22"/>
              </w:rPr>
              <w:t>anpassar, samordnar och följer upp det regionala utbildnings</w:t>
            </w:r>
            <w:r w:rsidR="009E28D2">
              <w:rPr>
                <w:rFonts w:ascii="Calibri" w:hAnsi="Calibri" w:cs="Calibri"/>
                <w:color w:val="000000"/>
                <w:sz w:val="22"/>
                <w:szCs w:val="22"/>
              </w:rPr>
              <w:t>-</w:t>
            </w:r>
            <w:r w:rsidR="00F46851">
              <w:rPr>
                <w:rFonts w:ascii="Calibri" w:hAnsi="Calibri" w:cs="Calibri"/>
                <w:color w:val="000000"/>
                <w:sz w:val="22"/>
                <w:szCs w:val="22"/>
              </w:rPr>
              <w:t xml:space="preserve">, </w:t>
            </w:r>
            <w:r>
              <w:rPr>
                <w:rFonts w:ascii="Calibri" w:hAnsi="Calibri" w:cs="Calibri"/>
                <w:color w:val="000000"/>
                <w:sz w:val="22"/>
                <w:szCs w:val="22"/>
              </w:rPr>
              <w:t xml:space="preserve">övnings- och utvecklingsbehovet. Länsstyrelsens samordning av förmågan utgår från </w:t>
            </w:r>
            <w:r w:rsidRPr="00122C6D">
              <w:rPr>
                <w:rFonts w:ascii="Calibri" w:hAnsi="Calibri" w:cs="Calibri"/>
                <w:color w:val="000000"/>
                <w:sz w:val="22"/>
                <w:szCs w:val="22"/>
              </w:rPr>
              <w:t xml:space="preserve">Sveriges strategi för oljeskadeskydd, de regionala prioriteringarna i Digital miljöatlas samt den regionala riskbilden. </w:t>
            </w:r>
          </w:p>
          <w:p w14:paraId="53972161" w14:textId="11325A88" w:rsidR="00F46851" w:rsidRPr="00561912" w:rsidRDefault="00F46851" w:rsidP="00A80934">
            <w:pPr>
              <w:rPr>
                <w:rFonts w:ascii="Calibri" w:hAnsi="Calibri" w:cs="Calibri"/>
                <w:color w:val="000000"/>
              </w:rPr>
            </w:pPr>
            <w:r>
              <w:rPr>
                <w:rFonts w:ascii="Calibri" w:hAnsi="Calibri" w:cs="Calibri"/>
                <w:color w:val="000000"/>
                <w:sz w:val="22"/>
                <w:szCs w:val="22"/>
              </w:rPr>
              <w:br/>
              <w:t xml:space="preserve">Länsstyrelserna bidrar med information och </w:t>
            </w:r>
            <w:r w:rsidR="00A80934">
              <w:rPr>
                <w:rFonts w:ascii="Calibri" w:hAnsi="Calibri" w:cs="Calibri"/>
                <w:color w:val="000000"/>
                <w:sz w:val="22"/>
                <w:szCs w:val="22"/>
              </w:rPr>
              <w:t xml:space="preserve">strategiska </w:t>
            </w:r>
            <w:r>
              <w:rPr>
                <w:rFonts w:ascii="Calibri" w:hAnsi="Calibri" w:cs="Calibri"/>
                <w:color w:val="000000"/>
                <w:sz w:val="22"/>
                <w:szCs w:val="22"/>
              </w:rPr>
              <w:t>frågeställningar till NSO.</w:t>
            </w:r>
            <w:r w:rsidR="00A80934">
              <w:rPr>
                <w:rFonts w:ascii="Calibri" w:hAnsi="Calibri" w:cs="Calibri"/>
                <w:color w:val="000000"/>
                <w:sz w:val="22"/>
                <w:szCs w:val="22"/>
              </w:rPr>
              <w:t xml:space="preserve"> </w:t>
            </w:r>
            <w:r>
              <w:rPr>
                <w:rFonts w:ascii="Calibri" w:hAnsi="Calibri" w:cs="Calibri"/>
                <w:color w:val="000000"/>
                <w:sz w:val="22"/>
                <w:szCs w:val="22"/>
              </w:rPr>
              <w:br/>
            </w:r>
          </w:p>
        </w:tc>
      </w:tr>
      <w:tr w:rsidR="00A80934" w:rsidRPr="004563DF" w14:paraId="2D55C885" w14:textId="642DBD0F" w:rsidTr="00A80934">
        <w:trPr>
          <w:trHeight w:val="304"/>
        </w:trPr>
        <w:tc>
          <w:tcPr>
            <w:tcW w:w="5220" w:type="dxa"/>
            <w:tcBorders>
              <w:top w:val="single" w:sz="4" w:space="0" w:color="auto"/>
              <w:left w:val="nil"/>
              <w:bottom w:val="single" w:sz="4" w:space="0" w:color="auto"/>
              <w:right w:val="single" w:sz="4" w:space="0" w:color="auto"/>
            </w:tcBorders>
            <w:shd w:val="clear" w:color="auto" w:fill="F2DBDB" w:themeFill="accent2" w:themeFillTint="33"/>
          </w:tcPr>
          <w:p w14:paraId="72B538ED" w14:textId="3D02677B" w:rsidR="00A80934" w:rsidRPr="00A80934" w:rsidRDefault="00A80934" w:rsidP="00A80934">
            <w:pPr>
              <w:rPr>
                <w:rFonts w:asciiTheme="minorHAnsi" w:hAnsiTheme="minorHAnsi" w:cstheme="minorHAnsi"/>
                <w:b/>
                <w:bCs/>
              </w:rPr>
            </w:pPr>
            <w:r w:rsidRPr="000F2FCC">
              <w:rPr>
                <w:rFonts w:asciiTheme="minorHAnsi" w:hAnsiTheme="minorHAnsi" w:cstheme="minorHAnsi"/>
                <w:b/>
                <w:bCs/>
              </w:rPr>
              <w:t>Mätetal</w:t>
            </w:r>
          </w:p>
        </w:tc>
        <w:tc>
          <w:tcPr>
            <w:tcW w:w="2140" w:type="dxa"/>
            <w:tcBorders>
              <w:top w:val="single" w:sz="4" w:space="0" w:color="auto"/>
              <w:left w:val="single" w:sz="4" w:space="0" w:color="auto"/>
              <w:bottom w:val="single" w:sz="4" w:space="0" w:color="auto"/>
              <w:right w:val="nil"/>
            </w:tcBorders>
            <w:shd w:val="clear" w:color="auto" w:fill="F2DBDB" w:themeFill="accent2" w:themeFillTint="33"/>
          </w:tcPr>
          <w:p w14:paraId="2048AB5C" w14:textId="77777777" w:rsidR="00A80934" w:rsidRDefault="00A80934" w:rsidP="00A80934">
            <w:pPr>
              <w:rPr>
                <w:rFonts w:asciiTheme="minorHAnsi" w:hAnsiTheme="minorHAnsi" w:cstheme="minorHAnsi"/>
                <w:b/>
                <w:bCs/>
              </w:rPr>
            </w:pPr>
            <w:r w:rsidRPr="00D41EE6">
              <w:rPr>
                <w:rFonts w:asciiTheme="minorHAnsi" w:hAnsiTheme="minorHAnsi" w:cstheme="minorHAnsi"/>
                <w:b/>
                <w:bCs/>
              </w:rPr>
              <w:t>Uppföljning genom</w:t>
            </w:r>
          </w:p>
          <w:p w14:paraId="49BAD70B" w14:textId="77777777" w:rsidR="00A80934" w:rsidRPr="00A80934" w:rsidRDefault="00A80934" w:rsidP="00A80934">
            <w:pPr>
              <w:rPr>
                <w:rFonts w:ascii="Calibri" w:hAnsi="Calibri" w:cs="Calibri"/>
                <w:color w:val="000000"/>
              </w:rPr>
            </w:pPr>
          </w:p>
        </w:tc>
      </w:tr>
      <w:tr w:rsidR="00A80934" w:rsidRPr="004563DF" w14:paraId="3202EEA6" w14:textId="7E2A90B4" w:rsidTr="008A3ECA">
        <w:trPr>
          <w:trHeight w:val="1092"/>
        </w:trPr>
        <w:tc>
          <w:tcPr>
            <w:tcW w:w="5220" w:type="dxa"/>
            <w:tcBorders>
              <w:top w:val="single" w:sz="4" w:space="0" w:color="auto"/>
              <w:left w:val="nil"/>
              <w:bottom w:val="single" w:sz="4" w:space="0" w:color="auto"/>
              <w:right w:val="single" w:sz="4" w:space="0" w:color="auto"/>
            </w:tcBorders>
            <w:shd w:val="clear" w:color="auto" w:fill="auto"/>
          </w:tcPr>
          <w:p w14:paraId="2A87ACF5" w14:textId="7C7EAAB1" w:rsidR="00A80934" w:rsidRPr="00A80934" w:rsidRDefault="00122C6D" w:rsidP="00122C6D">
            <w:pPr>
              <w:rPr>
                <w:rFonts w:asciiTheme="minorHAnsi" w:hAnsiTheme="minorHAnsi" w:cstheme="minorHAnsi"/>
                <w:b/>
                <w:bCs/>
              </w:rPr>
            </w:pPr>
            <w:proofErr w:type="spellStart"/>
            <w:r>
              <w:rPr>
                <w:rFonts w:ascii="Calibri" w:hAnsi="Calibri" w:cs="Calibri"/>
                <w:color w:val="000000"/>
              </w:rPr>
              <w:t>Kustlänen</w:t>
            </w:r>
            <w:proofErr w:type="spellEnd"/>
            <w:r w:rsidRPr="00A80934">
              <w:rPr>
                <w:rFonts w:ascii="Calibri" w:hAnsi="Calibri" w:cs="Calibri"/>
                <w:color w:val="000000"/>
              </w:rPr>
              <w:t xml:space="preserve"> </w:t>
            </w:r>
            <w:r w:rsidR="00F706D7">
              <w:rPr>
                <w:rFonts w:ascii="Calibri" w:hAnsi="Calibri" w:cs="Calibri"/>
                <w:color w:val="000000"/>
              </w:rPr>
              <w:t xml:space="preserve">integrerar </w:t>
            </w:r>
            <w:r w:rsidR="00F706D7" w:rsidRPr="00A80934">
              <w:rPr>
                <w:rFonts w:ascii="Calibri" w:hAnsi="Calibri" w:cs="Calibri"/>
                <w:color w:val="000000"/>
              </w:rPr>
              <w:t>oljeskadeskydd</w:t>
            </w:r>
            <w:r>
              <w:rPr>
                <w:rFonts w:ascii="Calibri" w:hAnsi="Calibri" w:cs="Calibri"/>
                <w:color w:val="000000"/>
              </w:rPr>
              <w:t xml:space="preserve"> i befintliga processer för </w:t>
            </w:r>
            <w:r w:rsidR="00A80934" w:rsidRPr="00A80934">
              <w:rPr>
                <w:rFonts w:ascii="Calibri" w:hAnsi="Calibri" w:cs="Calibri"/>
                <w:color w:val="000000"/>
              </w:rPr>
              <w:t>utbildnings- och övningsplan</w:t>
            </w:r>
            <w:r w:rsidR="00D9499F">
              <w:rPr>
                <w:rFonts w:ascii="Calibri" w:hAnsi="Calibri" w:cs="Calibri"/>
                <w:color w:val="000000"/>
              </w:rPr>
              <w:t>ering</w:t>
            </w:r>
            <w:r w:rsidR="00A80934">
              <w:rPr>
                <w:rFonts w:ascii="Calibri" w:hAnsi="Calibri" w:cs="Calibri"/>
                <w:color w:val="000000"/>
              </w:rPr>
              <w:t>.</w:t>
            </w:r>
            <w:r>
              <w:rPr>
                <w:rFonts w:ascii="Calibri" w:hAnsi="Calibri" w:cs="Calibri"/>
                <w:color w:val="000000"/>
              </w:rPr>
              <w:t xml:space="preserve"> </w:t>
            </w:r>
          </w:p>
        </w:tc>
        <w:tc>
          <w:tcPr>
            <w:tcW w:w="2140" w:type="dxa"/>
            <w:tcBorders>
              <w:top w:val="single" w:sz="4" w:space="0" w:color="auto"/>
              <w:left w:val="single" w:sz="4" w:space="0" w:color="auto"/>
              <w:bottom w:val="single" w:sz="4" w:space="0" w:color="auto"/>
              <w:right w:val="nil"/>
            </w:tcBorders>
            <w:shd w:val="clear" w:color="auto" w:fill="auto"/>
          </w:tcPr>
          <w:p w14:paraId="0EBBFC5B" w14:textId="77777777" w:rsidR="00D9499F" w:rsidRDefault="00D9499F" w:rsidP="00D9499F">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41FE3AE8" w14:textId="77777777" w:rsidR="00A80934" w:rsidRPr="00A80934" w:rsidRDefault="00A80934" w:rsidP="00A80934">
            <w:pPr>
              <w:rPr>
                <w:rFonts w:cstheme="minorHAnsi"/>
                <w:b/>
                <w:bCs/>
              </w:rPr>
            </w:pPr>
          </w:p>
        </w:tc>
      </w:tr>
      <w:tr w:rsidR="00D9499F" w:rsidRPr="004563DF" w14:paraId="590DD81F" w14:textId="77777777" w:rsidTr="008A3ECA">
        <w:trPr>
          <w:trHeight w:val="1226"/>
        </w:trPr>
        <w:tc>
          <w:tcPr>
            <w:tcW w:w="5220" w:type="dxa"/>
            <w:tcBorders>
              <w:top w:val="single" w:sz="4" w:space="0" w:color="auto"/>
              <w:left w:val="nil"/>
              <w:bottom w:val="single" w:sz="4" w:space="0" w:color="auto"/>
              <w:right w:val="single" w:sz="4" w:space="0" w:color="auto"/>
            </w:tcBorders>
            <w:shd w:val="clear" w:color="auto" w:fill="auto"/>
          </w:tcPr>
          <w:p w14:paraId="196A3A87" w14:textId="3AF1E929" w:rsidR="00D9499F" w:rsidRPr="00C0440E" w:rsidRDefault="00122C6D" w:rsidP="00D9499F">
            <w:pPr>
              <w:rPr>
                <w:rFonts w:ascii="Calibri" w:hAnsi="Calibri" w:cs="Calibri"/>
                <w:color w:val="000000"/>
              </w:rPr>
            </w:pPr>
            <w:proofErr w:type="spellStart"/>
            <w:r>
              <w:rPr>
                <w:rFonts w:ascii="Calibri" w:hAnsi="Calibri" w:cs="Calibri"/>
                <w:color w:val="000000"/>
              </w:rPr>
              <w:t>Kustlänen</w:t>
            </w:r>
            <w:proofErr w:type="spellEnd"/>
            <w:r w:rsidRPr="00A80934">
              <w:rPr>
                <w:rFonts w:ascii="Calibri" w:hAnsi="Calibri" w:cs="Calibri"/>
                <w:color w:val="000000"/>
              </w:rPr>
              <w:t xml:space="preserve"> </w:t>
            </w:r>
            <w:r w:rsidR="00D9499F" w:rsidRPr="00C0440E">
              <w:rPr>
                <w:rFonts w:ascii="Calibri" w:hAnsi="Calibri" w:cs="Calibri"/>
                <w:color w:val="000000"/>
              </w:rPr>
              <w:t xml:space="preserve">anpassar, samordnar och följer upp </w:t>
            </w:r>
            <w:r w:rsidR="002B498D">
              <w:rPr>
                <w:rFonts w:ascii="Calibri" w:hAnsi="Calibri" w:cs="Calibri"/>
                <w:color w:val="000000"/>
              </w:rPr>
              <w:t>regionens</w:t>
            </w:r>
            <w:r w:rsidR="00D9499F" w:rsidRPr="00C0440E">
              <w:rPr>
                <w:rFonts w:ascii="Calibri" w:hAnsi="Calibri" w:cs="Calibri"/>
                <w:color w:val="000000"/>
              </w:rPr>
              <w:t xml:space="preserve"> </w:t>
            </w:r>
            <w:r w:rsidR="002B498D">
              <w:rPr>
                <w:rFonts w:ascii="Calibri" w:hAnsi="Calibri" w:cs="Calibri"/>
                <w:color w:val="000000"/>
              </w:rPr>
              <w:t>behov</w:t>
            </w:r>
            <w:r w:rsidR="002B498D" w:rsidRPr="00C0440E">
              <w:rPr>
                <w:rFonts w:ascii="Calibri" w:hAnsi="Calibri" w:cs="Calibri"/>
                <w:color w:val="000000"/>
              </w:rPr>
              <w:t xml:space="preserve"> </w:t>
            </w:r>
            <w:r w:rsidR="002B498D">
              <w:rPr>
                <w:rFonts w:ascii="Calibri" w:hAnsi="Calibri" w:cs="Calibri"/>
                <w:color w:val="000000"/>
              </w:rPr>
              <w:t xml:space="preserve">av </w:t>
            </w:r>
            <w:r w:rsidR="00D9499F" w:rsidRPr="00C0440E">
              <w:rPr>
                <w:rFonts w:ascii="Calibri" w:hAnsi="Calibri" w:cs="Calibri"/>
                <w:color w:val="000000"/>
              </w:rPr>
              <w:t>utbildning-, övning- och utveckling</w:t>
            </w:r>
            <w:r w:rsidR="002B498D">
              <w:rPr>
                <w:rFonts w:ascii="Calibri" w:hAnsi="Calibri" w:cs="Calibri"/>
                <w:color w:val="000000"/>
              </w:rPr>
              <w:t xml:space="preserve"> av oljeskyddsberedskapen</w:t>
            </w:r>
            <w:r w:rsidR="00D9499F" w:rsidRPr="00C0440E">
              <w:rPr>
                <w:rFonts w:ascii="Calibri" w:hAnsi="Calibri" w:cs="Calibri"/>
                <w:color w:val="000000"/>
              </w:rPr>
              <w:t>.</w:t>
            </w:r>
          </w:p>
          <w:p w14:paraId="52827905" w14:textId="77777777" w:rsidR="00D9499F" w:rsidRPr="00C0440E" w:rsidRDefault="00D9499F" w:rsidP="00A80934">
            <w:pPr>
              <w:rPr>
                <w:rFonts w:ascii="Calibri" w:hAnsi="Calibri" w:cs="Calibri"/>
                <w:color w:val="000000"/>
              </w:rPr>
            </w:pPr>
          </w:p>
        </w:tc>
        <w:tc>
          <w:tcPr>
            <w:tcW w:w="2140" w:type="dxa"/>
            <w:tcBorders>
              <w:top w:val="single" w:sz="4" w:space="0" w:color="auto"/>
              <w:left w:val="single" w:sz="4" w:space="0" w:color="auto"/>
              <w:bottom w:val="single" w:sz="4" w:space="0" w:color="auto"/>
              <w:right w:val="nil"/>
            </w:tcBorders>
            <w:shd w:val="clear" w:color="auto" w:fill="auto"/>
          </w:tcPr>
          <w:p w14:paraId="20AD402C" w14:textId="77777777" w:rsidR="00281EB0" w:rsidRPr="00C0440E" w:rsidRDefault="00281EB0" w:rsidP="00281EB0">
            <w:pPr>
              <w:rPr>
                <w:rFonts w:ascii="Calibri" w:hAnsi="Calibri" w:cs="Calibri"/>
                <w:color w:val="000000"/>
              </w:rPr>
            </w:pPr>
            <w:r w:rsidRPr="00C0440E">
              <w:rPr>
                <w:rFonts w:ascii="Calibri" w:hAnsi="Calibri" w:cs="Calibri"/>
                <w:color w:val="000000"/>
              </w:rPr>
              <w:t>Kartläggning av förmågan – Sveriges oljeskyddsberedskap</w:t>
            </w:r>
          </w:p>
          <w:p w14:paraId="72699F36" w14:textId="77777777" w:rsidR="00D9499F" w:rsidRPr="00C0440E" w:rsidRDefault="00D9499F" w:rsidP="00A80934">
            <w:pPr>
              <w:rPr>
                <w:rFonts w:cstheme="minorHAnsi"/>
                <w:b/>
                <w:bCs/>
              </w:rPr>
            </w:pPr>
          </w:p>
        </w:tc>
      </w:tr>
      <w:tr w:rsidR="00A80934" w:rsidRPr="004563DF" w14:paraId="0E23115A" w14:textId="77777777" w:rsidTr="008A3ECA">
        <w:trPr>
          <w:trHeight w:val="776"/>
        </w:trPr>
        <w:tc>
          <w:tcPr>
            <w:tcW w:w="5220" w:type="dxa"/>
            <w:tcBorders>
              <w:top w:val="single" w:sz="4" w:space="0" w:color="auto"/>
              <w:left w:val="nil"/>
              <w:bottom w:val="nil"/>
              <w:right w:val="single" w:sz="4" w:space="0" w:color="auto"/>
            </w:tcBorders>
            <w:shd w:val="clear" w:color="auto" w:fill="auto"/>
          </w:tcPr>
          <w:p w14:paraId="395B80CE" w14:textId="36EAB5A7" w:rsidR="00A80934" w:rsidRPr="00A80934" w:rsidRDefault="00122C6D" w:rsidP="00681C78">
            <w:pPr>
              <w:rPr>
                <w:rFonts w:ascii="Calibri" w:hAnsi="Calibri" w:cs="Calibri"/>
                <w:color w:val="000000"/>
              </w:rPr>
            </w:pPr>
            <w:proofErr w:type="spellStart"/>
            <w:r>
              <w:rPr>
                <w:rFonts w:ascii="Calibri" w:hAnsi="Calibri" w:cs="Calibri"/>
                <w:color w:val="000000"/>
              </w:rPr>
              <w:t>Kustlänen</w:t>
            </w:r>
            <w:proofErr w:type="spellEnd"/>
            <w:r w:rsidR="00A80934" w:rsidRPr="00A80934">
              <w:rPr>
                <w:rFonts w:ascii="Calibri" w:hAnsi="Calibri" w:cs="Calibri"/>
                <w:color w:val="000000"/>
              </w:rPr>
              <w:t xml:space="preserve"> säkerställer att kompetens</w:t>
            </w:r>
            <w:r w:rsidR="00D9499F">
              <w:rPr>
                <w:rFonts w:ascii="Calibri" w:hAnsi="Calibri" w:cs="Calibri"/>
                <w:color w:val="000000"/>
              </w:rPr>
              <w:t xml:space="preserve"> och </w:t>
            </w:r>
            <w:r w:rsidR="00A80934" w:rsidRPr="00A80934">
              <w:rPr>
                <w:rFonts w:ascii="Calibri" w:hAnsi="Calibri" w:cs="Calibri"/>
                <w:color w:val="000000"/>
              </w:rPr>
              <w:t xml:space="preserve">förmåga </w:t>
            </w:r>
            <w:r w:rsidR="00681C78">
              <w:rPr>
                <w:rFonts w:ascii="Calibri" w:hAnsi="Calibri" w:cs="Calibri"/>
                <w:color w:val="000000"/>
              </w:rPr>
              <w:t xml:space="preserve">i regionen </w:t>
            </w:r>
            <w:r w:rsidR="00D9499F">
              <w:rPr>
                <w:rFonts w:ascii="Calibri" w:hAnsi="Calibri" w:cs="Calibri"/>
                <w:color w:val="000000"/>
              </w:rPr>
              <w:t xml:space="preserve">är i balans med länets </w:t>
            </w:r>
            <w:r w:rsidR="00681C78">
              <w:rPr>
                <w:rFonts w:ascii="Calibri" w:hAnsi="Calibri" w:cs="Calibri"/>
                <w:color w:val="000000"/>
              </w:rPr>
              <w:t>skyddsvärda områden och riskbild.</w:t>
            </w:r>
            <w:r w:rsidR="002B498D">
              <w:rPr>
                <w:rFonts w:ascii="Calibri" w:hAnsi="Calibri" w:cs="Calibri"/>
                <w:color w:val="000000"/>
              </w:rPr>
              <w:t xml:space="preserve"> </w:t>
            </w:r>
          </w:p>
        </w:tc>
        <w:tc>
          <w:tcPr>
            <w:tcW w:w="2140" w:type="dxa"/>
            <w:tcBorders>
              <w:top w:val="single" w:sz="4" w:space="0" w:color="auto"/>
              <w:left w:val="single" w:sz="4" w:space="0" w:color="auto"/>
              <w:bottom w:val="nil"/>
              <w:right w:val="nil"/>
            </w:tcBorders>
            <w:shd w:val="clear" w:color="auto" w:fill="auto"/>
          </w:tcPr>
          <w:p w14:paraId="720741CE" w14:textId="77777777" w:rsidR="00D9499F" w:rsidRDefault="00D9499F" w:rsidP="00D9499F">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06693BAD" w14:textId="77777777" w:rsidR="00A80934" w:rsidRPr="00A80934" w:rsidRDefault="00A80934" w:rsidP="00A80934">
            <w:pPr>
              <w:rPr>
                <w:rFonts w:cstheme="minorHAnsi"/>
                <w:b/>
                <w:bCs/>
              </w:rPr>
            </w:pPr>
          </w:p>
        </w:tc>
      </w:tr>
    </w:tbl>
    <w:p w14:paraId="2A9D76F7" w14:textId="0623873F" w:rsidR="00EE7D05" w:rsidRDefault="00EE7D05" w:rsidP="00561912">
      <w:pPr>
        <w:pStyle w:val="Brdtext"/>
      </w:pPr>
    </w:p>
    <w:p w14:paraId="1C084193" w14:textId="77777777" w:rsidR="00EE7D05" w:rsidRDefault="00EE7D05">
      <w:pPr>
        <w:spacing w:line="240" w:lineRule="auto"/>
      </w:pPr>
      <w:r>
        <w:br w:type="page"/>
      </w:r>
    </w:p>
    <w:p w14:paraId="3698272C" w14:textId="77777777" w:rsidR="00F46851" w:rsidRDefault="00F46851" w:rsidP="00561912">
      <w:pPr>
        <w:pStyle w:val="Brdtext"/>
      </w:pPr>
    </w:p>
    <w:tbl>
      <w:tblPr>
        <w:tblStyle w:val="Tabellrutnt"/>
        <w:tblW w:w="0" w:type="auto"/>
        <w:tblLook w:val="04A0" w:firstRow="1" w:lastRow="0" w:firstColumn="1" w:lastColumn="0" w:noHBand="0" w:noVBand="1"/>
      </w:tblPr>
      <w:tblGrid>
        <w:gridCol w:w="5209"/>
        <w:gridCol w:w="2151"/>
      </w:tblGrid>
      <w:tr w:rsidR="00F84DBD" w14:paraId="4F83A774" w14:textId="77777777" w:rsidTr="00421B34">
        <w:tc>
          <w:tcPr>
            <w:tcW w:w="7360" w:type="dxa"/>
            <w:gridSpan w:val="2"/>
            <w:tcBorders>
              <w:top w:val="nil"/>
              <w:left w:val="nil"/>
              <w:bottom w:val="nil"/>
              <w:right w:val="nil"/>
            </w:tcBorders>
            <w:shd w:val="clear" w:color="auto" w:fill="9A4C6F"/>
          </w:tcPr>
          <w:p w14:paraId="481101EC" w14:textId="77777777" w:rsidR="00F84DBD" w:rsidRPr="004563DF" w:rsidRDefault="00F84DBD" w:rsidP="00FE1643">
            <w:pPr>
              <w:pStyle w:val="Brdtext"/>
              <w:numPr>
                <w:ilvl w:val="0"/>
                <w:numId w:val="91"/>
              </w:numPr>
              <w:rPr>
                <w:rFonts w:asciiTheme="minorHAnsi" w:hAnsiTheme="minorHAnsi" w:cstheme="minorHAnsi"/>
                <w:b/>
                <w:bCs/>
              </w:rPr>
            </w:pPr>
            <w:r w:rsidRPr="004563DF">
              <w:rPr>
                <w:rFonts w:ascii="Calibri" w:hAnsi="Calibri" w:cs="Calibri"/>
                <w:b/>
                <w:bCs/>
                <w:color w:val="000000"/>
              </w:rPr>
              <w:t>Testa förmågan skarpt</w:t>
            </w:r>
            <w:r>
              <w:rPr>
                <w:rFonts w:ascii="Calibri" w:hAnsi="Calibri" w:cs="Calibri"/>
                <w:b/>
                <w:bCs/>
                <w:color w:val="000000"/>
              </w:rPr>
              <w:t xml:space="preserve"> på regional nivå</w:t>
            </w:r>
            <w:r>
              <w:rPr>
                <w:rStyle w:val="Fotnotsreferens"/>
                <w:rFonts w:ascii="Calibri" w:hAnsi="Calibri" w:cs="Calibri"/>
                <w:b/>
                <w:bCs/>
                <w:color w:val="000000"/>
              </w:rPr>
              <w:footnoteReference w:id="28"/>
            </w:r>
          </w:p>
        </w:tc>
      </w:tr>
      <w:tr w:rsidR="00F84DBD" w14:paraId="2EDC5185" w14:textId="77777777" w:rsidTr="008A3ECA">
        <w:trPr>
          <w:trHeight w:val="1783"/>
        </w:trPr>
        <w:tc>
          <w:tcPr>
            <w:tcW w:w="7360" w:type="dxa"/>
            <w:gridSpan w:val="2"/>
            <w:tcBorders>
              <w:top w:val="nil"/>
              <w:left w:val="nil"/>
              <w:bottom w:val="single" w:sz="4" w:space="0" w:color="auto"/>
              <w:right w:val="nil"/>
            </w:tcBorders>
            <w:shd w:val="clear" w:color="auto" w:fill="auto"/>
          </w:tcPr>
          <w:p w14:paraId="3C608880" w14:textId="1B08D327" w:rsidR="002B498D" w:rsidRDefault="00F84DBD" w:rsidP="002B498D">
            <w:pPr>
              <w:rPr>
                <w:rFonts w:ascii="Calibri" w:hAnsi="Calibri" w:cs="Calibri"/>
                <w:color w:val="000000"/>
                <w:sz w:val="22"/>
                <w:szCs w:val="22"/>
              </w:rPr>
            </w:pPr>
            <w:r>
              <w:rPr>
                <w:rFonts w:ascii="Calibri" w:hAnsi="Calibri" w:cs="Calibri"/>
                <w:color w:val="000000"/>
                <w:sz w:val="22"/>
                <w:szCs w:val="22"/>
              </w:rPr>
              <w:t>Förmågan behöver regelbundet säkerställas genom att testas skarpt. Det kan antingen göras i samband med verkliga olyckor eller i en övning. Den nationella utbildnings- och övningsplanen ger</w:t>
            </w:r>
            <w:r w:rsidR="00B57C66">
              <w:rPr>
                <w:rFonts w:ascii="Calibri" w:hAnsi="Calibri" w:cs="Calibri"/>
                <w:color w:val="000000"/>
                <w:sz w:val="22"/>
                <w:szCs w:val="22"/>
              </w:rPr>
              <w:t xml:space="preserve"> övergripande inriktning till</w:t>
            </w:r>
            <w:r>
              <w:rPr>
                <w:rFonts w:ascii="Calibri" w:hAnsi="Calibri" w:cs="Calibri"/>
                <w:color w:val="000000"/>
                <w:sz w:val="22"/>
                <w:szCs w:val="22"/>
              </w:rPr>
              <w:t xml:space="preserve"> övningsverksamhet</w:t>
            </w:r>
            <w:r w:rsidR="00B57C66">
              <w:rPr>
                <w:rFonts w:ascii="Calibri" w:hAnsi="Calibri" w:cs="Calibri"/>
                <w:color w:val="000000"/>
                <w:sz w:val="22"/>
                <w:szCs w:val="22"/>
              </w:rPr>
              <w:t>en</w:t>
            </w:r>
            <w:r>
              <w:rPr>
                <w:rFonts w:ascii="Calibri" w:hAnsi="Calibri" w:cs="Calibri"/>
                <w:color w:val="000000"/>
                <w:sz w:val="22"/>
                <w:szCs w:val="22"/>
              </w:rPr>
              <w:t>. Testning genom inträffade olyckor och insatser</w:t>
            </w:r>
            <w:r w:rsidR="00B57C66">
              <w:rPr>
                <w:rFonts w:ascii="Calibri" w:hAnsi="Calibri" w:cs="Calibri"/>
                <w:color w:val="000000"/>
                <w:sz w:val="22"/>
                <w:szCs w:val="22"/>
              </w:rPr>
              <w:t xml:space="preserve"> kan ersätta planerade övningar. F</w:t>
            </w:r>
            <w:r w:rsidR="002B498D">
              <w:rPr>
                <w:rFonts w:ascii="Calibri" w:hAnsi="Calibri" w:cs="Calibri"/>
                <w:color w:val="000000"/>
                <w:sz w:val="22"/>
                <w:szCs w:val="22"/>
              </w:rPr>
              <w:t>örvärvade lärdomar återförs till regionens utvecklingsarbete.</w:t>
            </w:r>
            <w:r w:rsidR="00712053">
              <w:rPr>
                <w:rFonts w:ascii="Calibri" w:hAnsi="Calibri" w:cs="Calibri"/>
                <w:color w:val="000000"/>
                <w:sz w:val="22"/>
                <w:szCs w:val="22"/>
              </w:rPr>
              <w:t xml:space="preserve"> </w:t>
            </w:r>
            <w:r w:rsidR="002B498D">
              <w:rPr>
                <w:rFonts w:ascii="Calibri" w:hAnsi="Calibri" w:cs="Calibri"/>
                <w:color w:val="000000"/>
                <w:sz w:val="22"/>
                <w:szCs w:val="22"/>
              </w:rPr>
              <w:t xml:space="preserve"> </w:t>
            </w:r>
          </w:p>
          <w:p w14:paraId="25BBC0B3" w14:textId="7975EE57" w:rsidR="002B498D" w:rsidRPr="002B498D" w:rsidRDefault="002B498D" w:rsidP="002B498D">
            <w:pPr>
              <w:rPr>
                <w:rFonts w:ascii="Calibri" w:hAnsi="Calibri" w:cs="Calibri"/>
                <w:color w:val="000000"/>
                <w:sz w:val="22"/>
                <w:szCs w:val="22"/>
              </w:rPr>
            </w:pPr>
          </w:p>
        </w:tc>
      </w:tr>
      <w:tr w:rsidR="00F84DBD" w14:paraId="79837041" w14:textId="77777777" w:rsidTr="00421B34">
        <w:trPr>
          <w:trHeight w:val="271"/>
        </w:trPr>
        <w:tc>
          <w:tcPr>
            <w:tcW w:w="5209" w:type="dxa"/>
            <w:tcBorders>
              <w:top w:val="single" w:sz="4" w:space="0" w:color="auto"/>
              <w:left w:val="nil"/>
              <w:bottom w:val="single" w:sz="4" w:space="0" w:color="auto"/>
              <w:right w:val="single" w:sz="4" w:space="0" w:color="auto"/>
            </w:tcBorders>
            <w:shd w:val="clear" w:color="auto" w:fill="F2DBDB" w:themeFill="accent2" w:themeFillTint="33"/>
          </w:tcPr>
          <w:p w14:paraId="55302186" w14:textId="77777777" w:rsidR="00F84DBD" w:rsidRPr="0023305C" w:rsidRDefault="00F84DBD" w:rsidP="00421B34">
            <w:pPr>
              <w:rPr>
                <w:rFonts w:ascii="Calibri" w:hAnsi="Calibri" w:cs="Calibri"/>
                <w:color w:val="000000"/>
                <w:sz w:val="22"/>
                <w:szCs w:val="22"/>
              </w:rPr>
            </w:pPr>
            <w:r w:rsidRPr="000F2FCC">
              <w:rPr>
                <w:rFonts w:asciiTheme="minorHAnsi" w:hAnsiTheme="minorHAnsi" w:cstheme="minorHAnsi"/>
                <w:b/>
                <w:bCs/>
              </w:rPr>
              <w:t>Mätetal</w:t>
            </w:r>
          </w:p>
        </w:tc>
        <w:tc>
          <w:tcPr>
            <w:tcW w:w="2151" w:type="dxa"/>
            <w:tcBorders>
              <w:top w:val="single" w:sz="4" w:space="0" w:color="auto"/>
              <w:left w:val="single" w:sz="4" w:space="0" w:color="auto"/>
              <w:bottom w:val="single" w:sz="4" w:space="0" w:color="auto"/>
              <w:right w:val="nil"/>
            </w:tcBorders>
            <w:shd w:val="clear" w:color="auto" w:fill="F2DBDB" w:themeFill="accent2" w:themeFillTint="33"/>
          </w:tcPr>
          <w:p w14:paraId="3282F316" w14:textId="77777777" w:rsidR="00F84DBD" w:rsidRDefault="00F84DBD" w:rsidP="00421B34">
            <w:pPr>
              <w:rPr>
                <w:rFonts w:asciiTheme="minorHAnsi" w:hAnsiTheme="minorHAnsi" w:cstheme="minorHAnsi"/>
                <w:b/>
                <w:bCs/>
              </w:rPr>
            </w:pPr>
            <w:r w:rsidRPr="00D41EE6">
              <w:rPr>
                <w:rFonts w:asciiTheme="minorHAnsi" w:hAnsiTheme="minorHAnsi" w:cstheme="minorHAnsi"/>
                <w:b/>
                <w:bCs/>
              </w:rPr>
              <w:t>Uppföljning genom</w:t>
            </w:r>
          </w:p>
          <w:p w14:paraId="64B471ED" w14:textId="77777777" w:rsidR="00F84DBD" w:rsidRPr="0023305C" w:rsidRDefault="00F84DBD" w:rsidP="00421B34">
            <w:pPr>
              <w:rPr>
                <w:rFonts w:ascii="Calibri" w:hAnsi="Calibri" w:cs="Calibri"/>
                <w:color w:val="000000"/>
              </w:rPr>
            </w:pPr>
          </w:p>
        </w:tc>
      </w:tr>
      <w:tr w:rsidR="00F84DBD" w14:paraId="155713C1" w14:textId="77777777" w:rsidTr="008A3ECA">
        <w:trPr>
          <w:trHeight w:val="878"/>
        </w:trPr>
        <w:tc>
          <w:tcPr>
            <w:tcW w:w="5209" w:type="dxa"/>
            <w:tcBorders>
              <w:top w:val="single" w:sz="4" w:space="0" w:color="auto"/>
              <w:left w:val="nil"/>
              <w:bottom w:val="single" w:sz="4" w:space="0" w:color="auto"/>
              <w:right w:val="single" w:sz="4" w:space="0" w:color="auto"/>
            </w:tcBorders>
            <w:shd w:val="clear" w:color="auto" w:fill="auto"/>
          </w:tcPr>
          <w:p w14:paraId="427661AD" w14:textId="2CEB4555" w:rsidR="00F84DBD" w:rsidRPr="0023305C" w:rsidRDefault="00B57C66" w:rsidP="00421B34">
            <w:pPr>
              <w:rPr>
                <w:rFonts w:ascii="Calibri" w:hAnsi="Calibri" w:cs="Calibri"/>
                <w:color w:val="000000"/>
              </w:rPr>
            </w:pPr>
            <w:proofErr w:type="spellStart"/>
            <w:r>
              <w:rPr>
                <w:rFonts w:ascii="Calibri" w:hAnsi="Calibri" w:cs="Calibri"/>
                <w:color w:val="000000"/>
              </w:rPr>
              <w:t>Kustlänen</w:t>
            </w:r>
            <w:proofErr w:type="spellEnd"/>
            <w:r w:rsidRPr="00A80934">
              <w:rPr>
                <w:rFonts w:ascii="Calibri" w:hAnsi="Calibri" w:cs="Calibri"/>
                <w:color w:val="000000"/>
              </w:rPr>
              <w:t xml:space="preserve"> </w:t>
            </w:r>
            <w:r w:rsidR="00CD1DAA">
              <w:rPr>
                <w:rFonts w:ascii="Calibri" w:hAnsi="Calibri" w:cs="Calibri"/>
                <w:color w:val="000000"/>
              </w:rPr>
              <w:t>genomför</w:t>
            </w:r>
            <w:r w:rsidR="00F84DBD" w:rsidRPr="0023305C">
              <w:rPr>
                <w:rFonts w:ascii="Calibri" w:hAnsi="Calibri" w:cs="Calibri"/>
                <w:color w:val="000000"/>
              </w:rPr>
              <w:t xml:space="preserve"> övningar utifrån övningsplanen</w:t>
            </w:r>
            <w:r w:rsidR="00EE7D05">
              <w:rPr>
                <w:rFonts w:ascii="Calibri" w:hAnsi="Calibri" w:cs="Calibri"/>
                <w:color w:val="000000"/>
              </w:rPr>
              <w:t>.</w:t>
            </w:r>
            <w:r w:rsidR="00F84DBD">
              <w:rPr>
                <w:rFonts w:ascii="Calibri" w:hAnsi="Calibri" w:cs="Calibri"/>
                <w:color w:val="000000"/>
              </w:rPr>
              <w:t xml:space="preserve"> </w:t>
            </w:r>
          </w:p>
          <w:p w14:paraId="528E119F" w14:textId="77777777" w:rsidR="00F84DBD" w:rsidRPr="004563DF" w:rsidRDefault="00F84DBD" w:rsidP="00421B34">
            <w:pPr>
              <w:rPr>
                <w:rFonts w:ascii="Calibri" w:hAnsi="Calibri" w:cs="Calibri"/>
                <w:b/>
                <w:bCs/>
                <w:color w:val="000000"/>
              </w:rPr>
            </w:pPr>
          </w:p>
        </w:tc>
        <w:tc>
          <w:tcPr>
            <w:tcW w:w="2151" w:type="dxa"/>
            <w:tcBorders>
              <w:top w:val="single" w:sz="4" w:space="0" w:color="auto"/>
              <w:left w:val="single" w:sz="4" w:space="0" w:color="auto"/>
              <w:bottom w:val="single" w:sz="4" w:space="0" w:color="auto"/>
              <w:right w:val="nil"/>
            </w:tcBorders>
            <w:shd w:val="clear" w:color="auto" w:fill="auto"/>
          </w:tcPr>
          <w:p w14:paraId="2F46F08E" w14:textId="77777777" w:rsidR="00F84DBD" w:rsidRDefault="00F84DBD" w:rsidP="00421B34">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4F8751B9" w14:textId="77777777" w:rsidR="00F84DBD" w:rsidRPr="0023305C" w:rsidRDefault="00F84DBD" w:rsidP="00421B34">
            <w:pPr>
              <w:rPr>
                <w:rFonts w:ascii="Calibri" w:hAnsi="Calibri" w:cs="Calibri"/>
                <w:color w:val="000000"/>
              </w:rPr>
            </w:pPr>
          </w:p>
        </w:tc>
      </w:tr>
      <w:tr w:rsidR="00F84DBD" w14:paraId="3634012A" w14:textId="77777777" w:rsidTr="008A3ECA">
        <w:trPr>
          <w:trHeight w:val="439"/>
        </w:trPr>
        <w:tc>
          <w:tcPr>
            <w:tcW w:w="5209" w:type="dxa"/>
            <w:tcBorders>
              <w:top w:val="single" w:sz="4" w:space="0" w:color="auto"/>
              <w:left w:val="nil"/>
              <w:bottom w:val="nil"/>
              <w:right w:val="single" w:sz="4" w:space="0" w:color="auto"/>
            </w:tcBorders>
            <w:shd w:val="clear" w:color="auto" w:fill="auto"/>
          </w:tcPr>
          <w:p w14:paraId="793582A1" w14:textId="6615A09E" w:rsidR="00F84DBD" w:rsidRDefault="000D7114" w:rsidP="00E31975">
            <w:pPr>
              <w:rPr>
                <w:rFonts w:ascii="Calibri" w:hAnsi="Calibri" w:cs="Calibri"/>
                <w:color w:val="000000"/>
              </w:rPr>
            </w:pPr>
            <w:proofErr w:type="spellStart"/>
            <w:r>
              <w:rPr>
                <w:rFonts w:ascii="Calibri" w:hAnsi="Calibri" w:cs="Calibri"/>
                <w:color w:val="000000"/>
              </w:rPr>
              <w:t>Kustlänen</w:t>
            </w:r>
            <w:proofErr w:type="spellEnd"/>
            <w:r>
              <w:rPr>
                <w:rFonts w:ascii="Calibri" w:hAnsi="Calibri" w:cs="Calibri"/>
                <w:color w:val="000000"/>
              </w:rPr>
              <w:t xml:space="preserve"> </w:t>
            </w:r>
            <w:r w:rsidR="0058215B">
              <w:rPr>
                <w:rFonts w:ascii="Calibri" w:hAnsi="Calibri" w:cs="Calibri"/>
                <w:color w:val="000000"/>
              </w:rPr>
              <w:t xml:space="preserve">säkerställer att </w:t>
            </w:r>
            <w:r>
              <w:rPr>
                <w:rFonts w:ascii="Calibri" w:hAnsi="Calibri" w:cs="Calibri"/>
                <w:color w:val="000000"/>
              </w:rPr>
              <w:t>ö</w:t>
            </w:r>
            <w:r w:rsidR="00F84DBD" w:rsidRPr="0023305C">
              <w:rPr>
                <w:rFonts w:ascii="Calibri" w:hAnsi="Calibri" w:cs="Calibri"/>
                <w:color w:val="000000"/>
              </w:rPr>
              <w:t>vningar</w:t>
            </w:r>
            <w:r w:rsidR="00EA6065">
              <w:rPr>
                <w:rFonts w:ascii="Calibri" w:hAnsi="Calibri" w:cs="Calibri"/>
                <w:color w:val="000000"/>
              </w:rPr>
              <w:t xml:space="preserve"> och inträffade händelser</w:t>
            </w:r>
            <w:r w:rsidR="0058215B">
              <w:rPr>
                <w:rFonts w:ascii="Calibri" w:hAnsi="Calibri" w:cs="Calibri"/>
                <w:color w:val="000000"/>
              </w:rPr>
              <w:t xml:space="preserve"> utvärderas</w:t>
            </w:r>
            <w:r w:rsidR="00643EBC">
              <w:rPr>
                <w:rFonts w:ascii="Calibri" w:hAnsi="Calibri" w:cs="Calibri"/>
                <w:color w:val="000000"/>
              </w:rPr>
              <w:t>. E</w:t>
            </w:r>
            <w:r w:rsidR="00712053">
              <w:rPr>
                <w:rFonts w:ascii="Calibri" w:hAnsi="Calibri" w:cs="Calibri"/>
                <w:color w:val="000000"/>
              </w:rPr>
              <w:t>rfarenheter</w:t>
            </w:r>
            <w:r w:rsidR="00643EBC">
              <w:rPr>
                <w:rFonts w:ascii="Calibri" w:hAnsi="Calibri" w:cs="Calibri"/>
                <w:color w:val="000000"/>
              </w:rPr>
              <w:t xml:space="preserve"> och lärdomar</w:t>
            </w:r>
            <w:r w:rsidR="00712053">
              <w:rPr>
                <w:rFonts w:ascii="Calibri" w:hAnsi="Calibri" w:cs="Calibri"/>
                <w:color w:val="000000"/>
              </w:rPr>
              <w:t xml:space="preserve"> </w:t>
            </w:r>
            <w:r w:rsidR="00643EBC">
              <w:rPr>
                <w:rFonts w:ascii="Calibri" w:hAnsi="Calibri" w:cs="Calibri"/>
                <w:color w:val="000000"/>
              </w:rPr>
              <w:t xml:space="preserve">av nationellt intresse </w:t>
            </w:r>
            <w:r w:rsidR="00E31975">
              <w:rPr>
                <w:rFonts w:ascii="Calibri" w:hAnsi="Calibri" w:cs="Calibri"/>
                <w:color w:val="000000"/>
              </w:rPr>
              <w:t>delges</w:t>
            </w:r>
            <w:r w:rsidR="00712053">
              <w:rPr>
                <w:rFonts w:ascii="Calibri" w:hAnsi="Calibri" w:cs="Calibri"/>
                <w:color w:val="000000"/>
              </w:rPr>
              <w:t xml:space="preserve"> vid NSO:s konferens för oljeskadeskydd. </w:t>
            </w:r>
          </w:p>
          <w:p w14:paraId="489D9C05" w14:textId="26ED507D" w:rsidR="00E31975" w:rsidRPr="004563DF" w:rsidRDefault="00E31975" w:rsidP="00E31975">
            <w:pPr>
              <w:rPr>
                <w:rFonts w:ascii="Calibri" w:hAnsi="Calibri" w:cs="Calibri"/>
                <w:b/>
                <w:bCs/>
                <w:color w:val="000000"/>
              </w:rPr>
            </w:pPr>
          </w:p>
        </w:tc>
        <w:tc>
          <w:tcPr>
            <w:tcW w:w="2151" w:type="dxa"/>
            <w:tcBorders>
              <w:top w:val="single" w:sz="4" w:space="0" w:color="auto"/>
              <w:left w:val="single" w:sz="4" w:space="0" w:color="auto"/>
              <w:bottom w:val="nil"/>
              <w:right w:val="nil"/>
            </w:tcBorders>
            <w:shd w:val="clear" w:color="auto" w:fill="auto"/>
          </w:tcPr>
          <w:p w14:paraId="4D134841" w14:textId="77777777" w:rsidR="00502D75" w:rsidRDefault="00502D75" w:rsidP="00502D75">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61773B8A" w14:textId="3E68946F" w:rsidR="00F84DBD" w:rsidRPr="0023305C" w:rsidRDefault="00F84DBD" w:rsidP="00421B34">
            <w:pPr>
              <w:rPr>
                <w:rFonts w:ascii="Calibri" w:hAnsi="Calibri" w:cs="Calibri"/>
                <w:color w:val="000000"/>
              </w:rPr>
            </w:pPr>
          </w:p>
        </w:tc>
      </w:tr>
    </w:tbl>
    <w:p w14:paraId="4B2E3E18" w14:textId="77777777" w:rsidR="00F84DBD" w:rsidRPr="00C173E1" w:rsidRDefault="00F84DBD" w:rsidP="00561912">
      <w:pPr>
        <w:pStyle w:val="Brdtext"/>
      </w:pPr>
    </w:p>
    <w:p w14:paraId="4AAFC477" w14:textId="77777777" w:rsidR="00943CA0" w:rsidRDefault="00943CA0" w:rsidP="00561912">
      <w:pPr>
        <w:pStyle w:val="Rubrik3"/>
      </w:pPr>
      <w:r>
        <w:br w:type="page"/>
      </w:r>
    </w:p>
    <w:p w14:paraId="65853454" w14:textId="63FBB731" w:rsidR="00885474" w:rsidRDefault="00F46851" w:rsidP="00561912">
      <w:pPr>
        <w:pStyle w:val="Rubrik3"/>
      </w:pPr>
      <w:bookmarkStart w:id="21" w:name="_Toc93561720"/>
      <w:r>
        <w:lastRenderedPageBreak/>
        <w:t>Prioriterade åtgärder på lokal nivå</w:t>
      </w:r>
      <w:bookmarkEnd w:id="21"/>
    </w:p>
    <w:tbl>
      <w:tblPr>
        <w:tblStyle w:val="Tabellrutnt"/>
        <w:tblW w:w="0" w:type="auto"/>
        <w:tblLook w:val="04A0" w:firstRow="1" w:lastRow="0" w:firstColumn="1" w:lastColumn="0" w:noHBand="0" w:noVBand="1"/>
      </w:tblPr>
      <w:tblGrid>
        <w:gridCol w:w="4866"/>
        <w:gridCol w:w="2504"/>
      </w:tblGrid>
      <w:tr w:rsidR="00F46851" w:rsidRPr="004563DF" w14:paraId="2782E00E" w14:textId="77777777" w:rsidTr="003E2220">
        <w:tc>
          <w:tcPr>
            <w:tcW w:w="7370" w:type="dxa"/>
            <w:gridSpan w:val="2"/>
            <w:tcBorders>
              <w:top w:val="nil"/>
              <w:left w:val="nil"/>
              <w:bottom w:val="nil"/>
              <w:right w:val="nil"/>
            </w:tcBorders>
            <w:shd w:val="clear" w:color="auto" w:fill="822757"/>
          </w:tcPr>
          <w:p w14:paraId="380B6087" w14:textId="67944CED" w:rsidR="00F46851" w:rsidRPr="004563DF" w:rsidRDefault="00DA41D6" w:rsidP="006E48BB">
            <w:pPr>
              <w:pStyle w:val="Brdtext"/>
              <w:numPr>
                <w:ilvl w:val="0"/>
                <w:numId w:val="93"/>
              </w:numPr>
              <w:rPr>
                <w:rFonts w:asciiTheme="minorHAnsi" w:hAnsiTheme="minorHAnsi" w:cstheme="minorHAnsi"/>
                <w:b/>
                <w:bCs/>
              </w:rPr>
            </w:pPr>
            <w:r>
              <w:rPr>
                <w:rFonts w:ascii="Calibri" w:hAnsi="Calibri" w:cs="Calibri"/>
                <w:b/>
                <w:color w:val="000000"/>
                <w:sz w:val="22"/>
                <w:szCs w:val="22"/>
              </w:rPr>
              <w:t>Kustkommunerna</w:t>
            </w:r>
            <w:r w:rsidRPr="00937907">
              <w:rPr>
                <w:rFonts w:ascii="Calibri" w:hAnsi="Calibri" w:cs="Calibri"/>
                <w:b/>
                <w:color w:val="000000"/>
                <w:sz w:val="22"/>
                <w:szCs w:val="22"/>
              </w:rPr>
              <w:t xml:space="preserve"> bidrar till region</w:t>
            </w:r>
            <w:r>
              <w:rPr>
                <w:rFonts w:ascii="Calibri" w:hAnsi="Calibri" w:cs="Calibri"/>
                <w:b/>
                <w:color w:val="000000"/>
                <w:sz w:val="22"/>
                <w:szCs w:val="22"/>
              </w:rPr>
              <w:t>ens samordnade</w:t>
            </w:r>
            <w:r w:rsidRPr="00937907">
              <w:rPr>
                <w:rFonts w:ascii="Calibri" w:hAnsi="Calibri" w:cs="Calibri"/>
                <w:b/>
                <w:color w:val="000000"/>
                <w:sz w:val="22"/>
                <w:szCs w:val="22"/>
              </w:rPr>
              <w:t xml:space="preserve"> förmåga</w:t>
            </w:r>
          </w:p>
        </w:tc>
      </w:tr>
      <w:tr w:rsidR="00F46851" w:rsidRPr="004563DF" w14:paraId="1775E761" w14:textId="77777777" w:rsidTr="008A3ECA">
        <w:trPr>
          <w:trHeight w:val="1642"/>
        </w:trPr>
        <w:tc>
          <w:tcPr>
            <w:tcW w:w="7370" w:type="dxa"/>
            <w:gridSpan w:val="2"/>
            <w:tcBorders>
              <w:top w:val="nil"/>
              <w:left w:val="nil"/>
              <w:bottom w:val="single" w:sz="4" w:space="0" w:color="auto"/>
              <w:right w:val="nil"/>
            </w:tcBorders>
            <w:shd w:val="clear" w:color="auto" w:fill="auto"/>
          </w:tcPr>
          <w:p w14:paraId="27334005" w14:textId="5D81DE6B" w:rsidR="00844DCB" w:rsidRDefault="00465356" w:rsidP="00DA41D6">
            <w:pPr>
              <w:rPr>
                <w:rFonts w:ascii="Calibri" w:hAnsi="Calibri" w:cs="Calibri"/>
                <w:color w:val="000000"/>
              </w:rPr>
            </w:pPr>
            <w:r>
              <w:rPr>
                <w:rFonts w:ascii="Calibri" w:hAnsi="Calibri" w:cs="Calibri"/>
                <w:color w:val="000000"/>
                <w:sz w:val="22"/>
                <w:szCs w:val="22"/>
              </w:rPr>
              <w:t xml:space="preserve">Samtliga kommuner med kust mot statligt vatten </w:t>
            </w:r>
            <w:r w:rsidR="003E2220">
              <w:rPr>
                <w:rFonts w:ascii="Calibri" w:hAnsi="Calibri" w:cs="Calibri"/>
                <w:color w:val="000000"/>
                <w:sz w:val="22"/>
                <w:szCs w:val="22"/>
              </w:rPr>
              <w:t xml:space="preserve">har en </w:t>
            </w:r>
            <w:r w:rsidR="003E2220">
              <w:rPr>
                <w:rFonts w:ascii="Calibri" w:hAnsi="Calibri" w:cs="Calibri"/>
                <w:color w:val="000000"/>
              </w:rPr>
              <w:t xml:space="preserve">långsiktig planering för </w:t>
            </w:r>
            <w:r w:rsidR="00844DCB">
              <w:rPr>
                <w:rFonts w:ascii="Calibri" w:hAnsi="Calibri" w:cs="Calibri"/>
                <w:color w:val="000000"/>
              </w:rPr>
              <w:t>u</w:t>
            </w:r>
            <w:r w:rsidR="00844DCB" w:rsidRPr="003E2220">
              <w:rPr>
                <w:rFonts w:ascii="Calibri" w:hAnsi="Calibri" w:cs="Calibri"/>
                <w:color w:val="000000"/>
              </w:rPr>
              <w:t>tbildning</w:t>
            </w:r>
            <w:r w:rsidR="00844DCB">
              <w:rPr>
                <w:rFonts w:ascii="Calibri" w:hAnsi="Calibri" w:cs="Calibri"/>
                <w:color w:val="000000"/>
              </w:rPr>
              <w:t xml:space="preserve">s-, </w:t>
            </w:r>
            <w:r w:rsidR="00844DCB" w:rsidRPr="003E2220">
              <w:rPr>
                <w:rFonts w:ascii="Calibri" w:hAnsi="Calibri" w:cs="Calibri"/>
                <w:color w:val="000000"/>
              </w:rPr>
              <w:t>övning</w:t>
            </w:r>
            <w:r w:rsidR="00844DCB">
              <w:rPr>
                <w:rFonts w:ascii="Calibri" w:hAnsi="Calibri" w:cs="Calibri"/>
                <w:color w:val="000000"/>
              </w:rPr>
              <w:t xml:space="preserve">s- och utvecklingsverksamhet och bidrar med materiella och personella resurser till regionens samordnade förmåga. </w:t>
            </w:r>
          </w:p>
          <w:p w14:paraId="29DDD5D1" w14:textId="145497DC" w:rsidR="00844DCB" w:rsidRDefault="00844DCB" w:rsidP="00DA41D6">
            <w:pPr>
              <w:rPr>
                <w:rFonts w:ascii="Calibri" w:hAnsi="Calibri" w:cs="Calibri"/>
                <w:color w:val="000000"/>
              </w:rPr>
            </w:pPr>
            <w:r>
              <w:rPr>
                <w:rFonts w:ascii="Calibri" w:hAnsi="Calibri" w:cs="Calibri"/>
                <w:color w:val="000000"/>
              </w:rPr>
              <w:t xml:space="preserve"> </w:t>
            </w:r>
          </w:p>
          <w:p w14:paraId="4D7E2A3F" w14:textId="511238C5" w:rsidR="003E2220" w:rsidRDefault="00122C6D" w:rsidP="00DA41D6">
            <w:pPr>
              <w:rPr>
                <w:rFonts w:ascii="Calibri" w:hAnsi="Calibri" w:cs="Calibri"/>
                <w:color w:val="000000"/>
              </w:rPr>
            </w:pPr>
            <w:r>
              <w:rPr>
                <w:rFonts w:ascii="Calibri" w:hAnsi="Calibri" w:cs="Calibri"/>
                <w:color w:val="000000"/>
              </w:rPr>
              <w:t xml:space="preserve">I enlighet med Sveriges strategi för oljeskadeskydd utgår </w:t>
            </w:r>
            <w:r w:rsidR="0058215B">
              <w:rPr>
                <w:rFonts w:ascii="Calibri" w:hAnsi="Calibri" w:cs="Calibri"/>
                <w:color w:val="000000"/>
              </w:rPr>
              <w:t>arbetet</w:t>
            </w:r>
            <w:r w:rsidR="003E2220">
              <w:rPr>
                <w:rFonts w:ascii="Calibri" w:hAnsi="Calibri" w:cs="Calibri"/>
                <w:color w:val="000000"/>
              </w:rPr>
              <w:t xml:space="preserve"> </w:t>
            </w:r>
            <w:r w:rsidR="00844DCB">
              <w:rPr>
                <w:rFonts w:ascii="Calibri" w:hAnsi="Calibri" w:cs="Calibri"/>
                <w:color w:val="000000"/>
              </w:rPr>
              <w:t xml:space="preserve">från </w:t>
            </w:r>
            <w:r>
              <w:rPr>
                <w:rFonts w:ascii="Calibri" w:hAnsi="Calibri" w:cs="Calibri"/>
                <w:color w:val="000000"/>
              </w:rPr>
              <w:t>länsstyrelsens</w:t>
            </w:r>
            <w:r w:rsidR="003E2220">
              <w:rPr>
                <w:rFonts w:ascii="Calibri" w:hAnsi="Calibri" w:cs="Calibri"/>
                <w:color w:val="000000"/>
              </w:rPr>
              <w:t xml:space="preserve"> regionala samordning</w:t>
            </w:r>
            <w:r>
              <w:rPr>
                <w:rFonts w:ascii="Calibri" w:hAnsi="Calibri" w:cs="Calibri"/>
                <w:color w:val="000000"/>
              </w:rPr>
              <w:t xml:space="preserve"> av oljeskyddsberedskapen, de lokala prioriteringarna i Digital miljöatlas</w:t>
            </w:r>
            <w:r w:rsidR="00844DCB">
              <w:rPr>
                <w:rFonts w:ascii="Calibri" w:hAnsi="Calibri" w:cs="Calibri"/>
                <w:color w:val="000000"/>
              </w:rPr>
              <w:t xml:space="preserve"> samt den lokala riskbilden</w:t>
            </w:r>
            <w:r>
              <w:rPr>
                <w:rFonts w:ascii="Calibri" w:hAnsi="Calibri" w:cs="Calibri"/>
                <w:color w:val="000000"/>
              </w:rPr>
              <w:t xml:space="preserve">. </w:t>
            </w:r>
          </w:p>
          <w:p w14:paraId="643A4FCB" w14:textId="77777777" w:rsidR="003E2220" w:rsidRDefault="003E2220" w:rsidP="00DA41D6">
            <w:pPr>
              <w:rPr>
                <w:rFonts w:ascii="Calibri" w:hAnsi="Calibri" w:cs="Calibri"/>
                <w:color w:val="000000"/>
              </w:rPr>
            </w:pPr>
          </w:p>
          <w:p w14:paraId="6898AEB6" w14:textId="4BA4B9A7" w:rsidR="00F46851" w:rsidRDefault="00465356" w:rsidP="00DA41D6">
            <w:pPr>
              <w:rPr>
                <w:rFonts w:ascii="Calibri" w:hAnsi="Calibri" w:cs="Calibri"/>
                <w:color w:val="000000"/>
                <w:sz w:val="22"/>
                <w:szCs w:val="22"/>
              </w:rPr>
            </w:pPr>
            <w:r>
              <w:rPr>
                <w:rFonts w:ascii="Calibri" w:hAnsi="Calibri" w:cs="Calibri"/>
                <w:color w:val="000000"/>
              </w:rPr>
              <w:t>Kustkommuner</w:t>
            </w:r>
            <w:r w:rsidRPr="00A80934">
              <w:rPr>
                <w:rFonts w:ascii="Calibri" w:hAnsi="Calibri" w:cs="Calibri"/>
                <w:color w:val="000000"/>
              </w:rPr>
              <w:t xml:space="preserve"> </w:t>
            </w:r>
            <w:r w:rsidR="00DA41D6">
              <w:rPr>
                <w:rFonts w:ascii="Calibri" w:hAnsi="Calibri" w:cs="Calibri"/>
                <w:color w:val="000000"/>
                <w:sz w:val="22"/>
                <w:szCs w:val="22"/>
              </w:rPr>
              <w:t xml:space="preserve">bidrar med </w:t>
            </w:r>
            <w:r w:rsidR="00D9499F">
              <w:rPr>
                <w:rFonts w:ascii="Calibri" w:hAnsi="Calibri" w:cs="Calibri"/>
                <w:color w:val="000000"/>
                <w:sz w:val="22"/>
                <w:szCs w:val="22"/>
              </w:rPr>
              <w:t>information och strategiska frågeställningar till</w:t>
            </w:r>
            <w:r w:rsidR="003E2220">
              <w:rPr>
                <w:rFonts w:ascii="Calibri" w:hAnsi="Calibri" w:cs="Calibri"/>
                <w:color w:val="000000"/>
                <w:sz w:val="22"/>
                <w:szCs w:val="22"/>
              </w:rPr>
              <w:t xml:space="preserve"> sin länsstyrelse och</w:t>
            </w:r>
            <w:r w:rsidR="00D9499F">
              <w:rPr>
                <w:rFonts w:ascii="Calibri" w:hAnsi="Calibri" w:cs="Calibri"/>
                <w:color w:val="000000"/>
                <w:sz w:val="22"/>
                <w:szCs w:val="22"/>
              </w:rPr>
              <w:t xml:space="preserve"> NSO.</w:t>
            </w:r>
          </w:p>
          <w:p w14:paraId="51FDFA3D" w14:textId="3FCFD1E1" w:rsidR="00F46851" w:rsidRPr="00FE0B8E" w:rsidRDefault="00F46851" w:rsidP="00844DCB">
            <w:pPr>
              <w:rPr>
                <w:rFonts w:ascii="Calibri" w:hAnsi="Calibri" w:cs="Calibri"/>
                <w:color w:val="000000"/>
              </w:rPr>
            </w:pPr>
          </w:p>
        </w:tc>
      </w:tr>
      <w:tr w:rsidR="00FE0B8E" w:rsidRPr="004563DF" w14:paraId="5974AEAC" w14:textId="67E795D3" w:rsidTr="003E2220">
        <w:trPr>
          <w:trHeight w:val="383"/>
        </w:trPr>
        <w:tc>
          <w:tcPr>
            <w:tcW w:w="4866" w:type="dxa"/>
            <w:tcBorders>
              <w:top w:val="single" w:sz="4" w:space="0" w:color="auto"/>
              <w:left w:val="nil"/>
              <w:bottom w:val="single" w:sz="4" w:space="0" w:color="auto"/>
              <w:right w:val="single" w:sz="4" w:space="0" w:color="auto"/>
            </w:tcBorders>
            <w:shd w:val="clear" w:color="auto" w:fill="F2DBDB" w:themeFill="accent2" w:themeFillTint="33"/>
          </w:tcPr>
          <w:p w14:paraId="6F02CCB8" w14:textId="1806463B" w:rsidR="00FE0B8E" w:rsidRPr="003E2220" w:rsidRDefault="00FE0B8E" w:rsidP="00FE0B8E">
            <w:pPr>
              <w:rPr>
                <w:rFonts w:ascii="Calibri" w:hAnsi="Calibri" w:cs="Calibri"/>
                <w:color w:val="000000"/>
              </w:rPr>
            </w:pPr>
            <w:r w:rsidRPr="003E2220">
              <w:rPr>
                <w:rFonts w:asciiTheme="minorHAnsi" w:hAnsiTheme="minorHAnsi" w:cstheme="minorHAnsi"/>
                <w:b/>
                <w:bCs/>
              </w:rPr>
              <w:t>Mätetal</w:t>
            </w:r>
          </w:p>
        </w:tc>
        <w:tc>
          <w:tcPr>
            <w:tcW w:w="2504" w:type="dxa"/>
            <w:tcBorders>
              <w:top w:val="single" w:sz="4" w:space="0" w:color="auto"/>
              <w:left w:val="single" w:sz="4" w:space="0" w:color="auto"/>
              <w:bottom w:val="single" w:sz="4" w:space="0" w:color="auto"/>
              <w:right w:val="nil"/>
            </w:tcBorders>
            <w:shd w:val="clear" w:color="auto" w:fill="F2DBDB" w:themeFill="accent2" w:themeFillTint="33"/>
          </w:tcPr>
          <w:p w14:paraId="43C109D8" w14:textId="77777777" w:rsidR="00FE0B8E" w:rsidRDefault="00FE0B8E" w:rsidP="00FE0B8E">
            <w:pPr>
              <w:rPr>
                <w:rFonts w:asciiTheme="minorHAnsi" w:hAnsiTheme="minorHAnsi" w:cstheme="minorHAnsi"/>
                <w:b/>
                <w:bCs/>
              </w:rPr>
            </w:pPr>
            <w:r w:rsidRPr="00D41EE6">
              <w:rPr>
                <w:rFonts w:asciiTheme="minorHAnsi" w:hAnsiTheme="minorHAnsi" w:cstheme="minorHAnsi"/>
                <w:b/>
                <w:bCs/>
              </w:rPr>
              <w:t>Uppföljning genom</w:t>
            </w:r>
          </w:p>
          <w:p w14:paraId="3A6BA1A9" w14:textId="77777777" w:rsidR="00FE0B8E" w:rsidRPr="00FE0B8E" w:rsidRDefault="00FE0B8E" w:rsidP="00FE0B8E">
            <w:pPr>
              <w:rPr>
                <w:rFonts w:ascii="Calibri" w:hAnsi="Calibri" w:cs="Calibri"/>
                <w:color w:val="000000"/>
                <w:highlight w:val="yellow"/>
              </w:rPr>
            </w:pPr>
          </w:p>
        </w:tc>
      </w:tr>
      <w:tr w:rsidR="00627BAB" w:rsidRPr="004563DF" w14:paraId="00F153AF" w14:textId="77777777" w:rsidTr="008A3ECA">
        <w:trPr>
          <w:trHeight w:val="1114"/>
        </w:trPr>
        <w:tc>
          <w:tcPr>
            <w:tcW w:w="4866" w:type="dxa"/>
            <w:tcBorders>
              <w:top w:val="single" w:sz="4" w:space="0" w:color="auto"/>
              <w:left w:val="nil"/>
              <w:bottom w:val="single" w:sz="4" w:space="0" w:color="auto"/>
              <w:right w:val="single" w:sz="4" w:space="0" w:color="auto"/>
            </w:tcBorders>
            <w:shd w:val="clear" w:color="auto" w:fill="auto"/>
          </w:tcPr>
          <w:p w14:paraId="4F4B0B3A" w14:textId="367D48EC" w:rsidR="00627BAB" w:rsidRPr="003E2220" w:rsidRDefault="003E2220" w:rsidP="00122C6D">
            <w:pPr>
              <w:rPr>
                <w:rFonts w:ascii="Calibri" w:hAnsi="Calibri" w:cs="Calibri"/>
                <w:color w:val="000000"/>
              </w:rPr>
            </w:pPr>
            <w:r>
              <w:rPr>
                <w:rFonts w:ascii="Calibri" w:hAnsi="Calibri" w:cs="Calibri"/>
                <w:color w:val="000000"/>
              </w:rPr>
              <w:t>Kustkommuner har en långsiktig planering för u</w:t>
            </w:r>
            <w:r w:rsidRPr="003E2220">
              <w:rPr>
                <w:rFonts w:ascii="Calibri" w:hAnsi="Calibri" w:cs="Calibri"/>
                <w:color w:val="000000"/>
              </w:rPr>
              <w:t>tbildning</w:t>
            </w:r>
            <w:r>
              <w:rPr>
                <w:rFonts w:ascii="Calibri" w:hAnsi="Calibri" w:cs="Calibri"/>
                <w:color w:val="000000"/>
              </w:rPr>
              <w:t>s-</w:t>
            </w:r>
            <w:r w:rsidR="00844DCB">
              <w:rPr>
                <w:rFonts w:ascii="Calibri" w:hAnsi="Calibri" w:cs="Calibri"/>
                <w:color w:val="000000"/>
              </w:rPr>
              <w:t xml:space="preserve">, </w:t>
            </w:r>
            <w:r w:rsidRPr="003E2220">
              <w:rPr>
                <w:rFonts w:ascii="Calibri" w:hAnsi="Calibri" w:cs="Calibri"/>
                <w:color w:val="000000"/>
              </w:rPr>
              <w:t>övning</w:t>
            </w:r>
            <w:r>
              <w:rPr>
                <w:rFonts w:ascii="Calibri" w:hAnsi="Calibri" w:cs="Calibri"/>
                <w:color w:val="000000"/>
              </w:rPr>
              <w:t>s</w:t>
            </w:r>
            <w:r w:rsidR="00844DCB">
              <w:rPr>
                <w:rFonts w:ascii="Calibri" w:hAnsi="Calibri" w:cs="Calibri"/>
                <w:color w:val="000000"/>
              </w:rPr>
              <w:t>- och utvecklings</w:t>
            </w:r>
            <w:r>
              <w:rPr>
                <w:rFonts w:ascii="Calibri" w:hAnsi="Calibri" w:cs="Calibri"/>
                <w:color w:val="000000"/>
              </w:rPr>
              <w:t>verksamhet</w:t>
            </w:r>
            <w:r w:rsidR="00122C6D">
              <w:rPr>
                <w:rFonts w:ascii="Calibri" w:hAnsi="Calibri" w:cs="Calibri"/>
                <w:color w:val="000000"/>
              </w:rPr>
              <w:t>.</w:t>
            </w:r>
          </w:p>
        </w:tc>
        <w:tc>
          <w:tcPr>
            <w:tcW w:w="2504" w:type="dxa"/>
            <w:tcBorders>
              <w:top w:val="single" w:sz="4" w:space="0" w:color="auto"/>
              <w:left w:val="single" w:sz="4" w:space="0" w:color="auto"/>
              <w:bottom w:val="single" w:sz="4" w:space="0" w:color="auto"/>
              <w:right w:val="nil"/>
            </w:tcBorders>
            <w:shd w:val="clear" w:color="auto" w:fill="auto"/>
          </w:tcPr>
          <w:p w14:paraId="716BC633" w14:textId="77777777" w:rsidR="00627BAB" w:rsidRPr="003E2220" w:rsidRDefault="00627BAB" w:rsidP="00627BAB">
            <w:pPr>
              <w:rPr>
                <w:rFonts w:ascii="Calibri" w:hAnsi="Calibri" w:cs="Calibri"/>
                <w:color w:val="000000"/>
              </w:rPr>
            </w:pPr>
            <w:r w:rsidRPr="003E2220">
              <w:rPr>
                <w:rFonts w:ascii="Calibri" w:hAnsi="Calibri" w:cs="Calibri"/>
                <w:color w:val="000000"/>
              </w:rPr>
              <w:t>Kartläggning av förmågan – Sveriges oljeskyddsberedskap</w:t>
            </w:r>
          </w:p>
          <w:p w14:paraId="0CFA7F46" w14:textId="77777777" w:rsidR="00627BAB" w:rsidRPr="00627BAB" w:rsidRDefault="00627BAB" w:rsidP="00627BAB">
            <w:pPr>
              <w:rPr>
                <w:rFonts w:cstheme="minorHAnsi"/>
                <w:b/>
                <w:bCs/>
                <w:highlight w:val="yellow"/>
              </w:rPr>
            </w:pPr>
          </w:p>
        </w:tc>
      </w:tr>
      <w:tr w:rsidR="00627BAB" w:rsidRPr="004563DF" w14:paraId="2FFEE571" w14:textId="77777777" w:rsidTr="008A3ECA">
        <w:trPr>
          <w:trHeight w:val="1114"/>
        </w:trPr>
        <w:tc>
          <w:tcPr>
            <w:tcW w:w="4866" w:type="dxa"/>
            <w:tcBorders>
              <w:top w:val="single" w:sz="4" w:space="0" w:color="auto"/>
              <w:left w:val="nil"/>
              <w:bottom w:val="nil"/>
              <w:right w:val="single" w:sz="4" w:space="0" w:color="auto"/>
            </w:tcBorders>
            <w:shd w:val="clear" w:color="auto" w:fill="auto"/>
          </w:tcPr>
          <w:p w14:paraId="0346E7FE" w14:textId="7A5BC877" w:rsidR="0058215B" w:rsidRDefault="003E2220" w:rsidP="0058215B">
            <w:pPr>
              <w:rPr>
                <w:rFonts w:ascii="Calibri" w:hAnsi="Calibri" w:cs="Calibri"/>
                <w:color w:val="000000"/>
              </w:rPr>
            </w:pPr>
            <w:r>
              <w:rPr>
                <w:rFonts w:ascii="Calibri" w:hAnsi="Calibri" w:cs="Calibri"/>
                <w:color w:val="000000"/>
              </w:rPr>
              <w:t>Kustkommuner</w:t>
            </w:r>
            <w:r w:rsidR="0058215B">
              <w:rPr>
                <w:rFonts w:ascii="Calibri" w:hAnsi="Calibri" w:cs="Calibri"/>
                <w:color w:val="000000"/>
              </w:rPr>
              <w:t xml:space="preserve"> </w:t>
            </w:r>
            <w:r w:rsidR="00844DCB">
              <w:rPr>
                <w:rFonts w:ascii="Calibri" w:hAnsi="Calibri" w:cs="Calibri"/>
                <w:color w:val="000000"/>
              </w:rPr>
              <w:t xml:space="preserve">bidrar med </w:t>
            </w:r>
            <w:r w:rsidR="00627BAB" w:rsidRPr="00FE0B8E">
              <w:rPr>
                <w:rFonts w:ascii="Calibri" w:hAnsi="Calibri" w:cs="Calibri"/>
                <w:color w:val="000000"/>
              </w:rPr>
              <w:t>kompe</w:t>
            </w:r>
            <w:r w:rsidR="00844DCB">
              <w:rPr>
                <w:rFonts w:ascii="Calibri" w:hAnsi="Calibri" w:cs="Calibri"/>
                <w:color w:val="000000"/>
              </w:rPr>
              <w:t xml:space="preserve">tens, förmåga och resurser </w:t>
            </w:r>
            <w:r w:rsidR="0058215B">
              <w:rPr>
                <w:rFonts w:ascii="Calibri" w:hAnsi="Calibri" w:cs="Calibri"/>
                <w:color w:val="000000"/>
              </w:rPr>
              <w:t xml:space="preserve">för att upprätthålla en adekvat förmåga i regionen.  </w:t>
            </w:r>
          </w:p>
          <w:p w14:paraId="1ED5E93E" w14:textId="3127F3AD" w:rsidR="00627BAB" w:rsidRPr="00FE0B8E" w:rsidRDefault="00844DCB" w:rsidP="0058215B">
            <w:pPr>
              <w:rPr>
                <w:rFonts w:ascii="Calibri" w:hAnsi="Calibri" w:cs="Calibri"/>
                <w:color w:val="000000"/>
              </w:rPr>
            </w:pPr>
            <w:r>
              <w:rPr>
                <w:rFonts w:ascii="Calibri" w:hAnsi="Calibri" w:cs="Calibri"/>
                <w:color w:val="000000"/>
              </w:rPr>
              <w:t xml:space="preserve"> </w:t>
            </w:r>
          </w:p>
        </w:tc>
        <w:tc>
          <w:tcPr>
            <w:tcW w:w="2504" w:type="dxa"/>
            <w:tcBorders>
              <w:top w:val="single" w:sz="4" w:space="0" w:color="auto"/>
              <w:left w:val="single" w:sz="4" w:space="0" w:color="auto"/>
              <w:bottom w:val="nil"/>
              <w:right w:val="nil"/>
            </w:tcBorders>
            <w:shd w:val="clear" w:color="auto" w:fill="auto"/>
          </w:tcPr>
          <w:p w14:paraId="66FD6C98" w14:textId="77777777" w:rsidR="00627BAB" w:rsidRPr="003E2220" w:rsidRDefault="00627BAB" w:rsidP="00627BAB">
            <w:pPr>
              <w:rPr>
                <w:rFonts w:ascii="Calibri" w:hAnsi="Calibri" w:cs="Calibri"/>
                <w:color w:val="000000"/>
              </w:rPr>
            </w:pPr>
            <w:r w:rsidRPr="003E2220">
              <w:rPr>
                <w:rFonts w:ascii="Calibri" w:hAnsi="Calibri" w:cs="Calibri"/>
                <w:color w:val="000000"/>
              </w:rPr>
              <w:t>Kartläggning av förmågan – Sveriges oljeskyddsberedskap</w:t>
            </w:r>
          </w:p>
          <w:p w14:paraId="0F61A4E0" w14:textId="77777777" w:rsidR="00627BAB" w:rsidRPr="00627BAB" w:rsidRDefault="00627BAB" w:rsidP="00627BAB">
            <w:pPr>
              <w:rPr>
                <w:rFonts w:cstheme="minorHAnsi"/>
                <w:b/>
                <w:bCs/>
                <w:highlight w:val="yellow"/>
              </w:rPr>
            </w:pPr>
          </w:p>
        </w:tc>
      </w:tr>
    </w:tbl>
    <w:p w14:paraId="363628DD" w14:textId="10B30F9D" w:rsidR="009D2048" w:rsidRDefault="009D2048" w:rsidP="0030016C">
      <w:pPr>
        <w:pStyle w:val="Rubrik2"/>
        <w:numPr>
          <w:ilvl w:val="0"/>
          <w:numId w:val="0"/>
        </w:numPr>
      </w:pPr>
    </w:p>
    <w:tbl>
      <w:tblPr>
        <w:tblStyle w:val="Tabellrutnt"/>
        <w:tblW w:w="0" w:type="auto"/>
        <w:tblLook w:val="04A0" w:firstRow="1" w:lastRow="0" w:firstColumn="1" w:lastColumn="0" w:noHBand="0" w:noVBand="1"/>
      </w:tblPr>
      <w:tblGrid>
        <w:gridCol w:w="5231"/>
        <w:gridCol w:w="2129"/>
      </w:tblGrid>
      <w:tr w:rsidR="006E48BB" w14:paraId="7F09A133" w14:textId="77777777" w:rsidTr="00421B34">
        <w:tc>
          <w:tcPr>
            <w:tcW w:w="7360" w:type="dxa"/>
            <w:gridSpan w:val="2"/>
            <w:tcBorders>
              <w:top w:val="nil"/>
              <w:left w:val="nil"/>
              <w:bottom w:val="nil"/>
              <w:right w:val="nil"/>
            </w:tcBorders>
            <w:shd w:val="clear" w:color="auto" w:fill="822757"/>
          </w:tcPr>
          <w:p w14:paraId="2837C83D" w14:textId="77777777" w:rsidR="006E48BB" w:rsidRPr="004563DF" w:rsidRDefault="006E48BB" w:rsidP="006E48BB">
            <w:pPr>
              <w:pStyle w:val="Brdtext"/>
              <w:numPr>
                <w:ilvl w:val="0"/>
                <w:numId w:val="94"/>
              </w:numPr>
              <w:rPr>
                <w:rFonts w:asciiTheme="minorHAnsi" w:hAnsiTheme="minorHAnsi" w:cstheme="minorHAnsi"/>
                <w:b/>
                <w:bCs/>
              </w:rPr>
            </w:pPr>
            <w:r w:rsidRPr="00465356">
              <w:rPr>
                <w:rFonts w:ascii="Calibri" w:hAnsi="Calibri" w:cs="Calibri"/>
                <w:b/>
                <w:color w:val="000000"/>
                <w:sz w:val="22"/>
                <w:szCs w:val="22"/>
              </w:rPr>
              <w:t>Testa förmågan skarpt på lokal nivå</w:t>
            </w:r>
          </w:p>
        </w:tc>
      </w:tr>
      <w:tr w:rsidR="006E48BB" w14:paraId="7C5B6A05" w14:textId="77777777" w:rsidTr="008A3ECA">
        <w:trPr>
          <w:trHeight w:val="844"/>
        </w:trPr>
        <w:tc>
          <w:tcPr>
            <w:tcW w:w="7360" w:type="dxa"/>
            <w:gridSpan w:val="2"/>
            <w:tcBorders>
              <w:top w:val="nil"/>
              <w:left w:val="nil"/>
              <w:bottom w:val="single" w:sz="4" w:space="0" w:color="auto"/>
              <w:right w:val="nil"/>
            </w:tcBorders>
            <w:shd w:val="clear" w:color="auto" w:fill="auto"/>
          </w:tcPr>
          <w:p w14:paraId="4819A983" w14:textId="2DEC7AC5" w:rsidR="00DB7108" w:rsidRDefault="00DB7108" w:rsidP="00DB7108">
            <w:pPr>
              <w:rPr>
                <w:rFonts w:ascii="Calibri" w:hAnsi="Calibri" w:cs="Calibri"/>
                <w:color w:val="000000"/>
                <w:sz w:val="22"/>
                <w:szCs w:val="22"/>
              </w:rPr>
            </w:pPr>
            <w:r>
              <w:rPr>
                <w:rFonts w:ascii="Calibri" w:hAnsi="Calibri" w:cs="Calibri"/>
                <w:color w:val="000000"/>
                <w:sz w:val="22"/>
                <w:szCs w:val="22"/>
              </w:rPr>
              <w:t xml:space="preserve">Förmågan behöver regelbundet säkerställas genom att testas skarpt. Det kan antingen göras i samband med verkliga olyckor eller i en övning. Testning genom inträffade olyckor och insatser kan ersätta planerade övningar. Förvärvade lärdomar återförs till regionens utvecklingsarbete. </w:t>
            </w:r>
            <w:r w:rsidR="001764D7">
              <w:rPr>
                <w:rFonts w:ascii="Calibri" w:hAnsi="Calibri" w:cs="Calibri"/>
                <w:color w:val="000000"/>
                <w:sz w:val="22"/>
                <w:szCs w:val="22"/>
              </w:rPr>
              <w:t xml:space="preserve">Förvärvade lärdomar återförs till kommunens utvecklingsarbete. </w:t>
            </w:r>
            <w:r>
              <w:rPr>
                <w:rFonts w:ascii="Calibri" w:hAnsi="Calibri" w:cs="Calibri"/>
                <w:color w:val="000000"/>
                <w:sz w:val="22"/>
                <w:szCs w:val="22"/>
              </w:rPr>
              <w:t>Den nationella utbildnings- och övningsplanen</w:t>
            </w:r>
            <w:r w:rsidR="001764D7">
              <w:rPr>
                <w:rFonts w:ascii="Calibri" w:hAnsi="Calibri" w:cs="Calibri"/>
                <w:color w:val="000000"/>
                <w:sz w:val="22"/>
                <w:szCs w:val="22"/>
              </w:rPr>
              <w:t xml:space="preserve"> </w:t>
            </w:r>
            <w:r>
              <w:rPr>
                <w:rFonts w:ascii="Calibri" w:hAnsi="Calibri" w:cs="Calibri"/>
                <w:color w:val="000000"/>
                <w:sz w:val="22"/>
                <w:szCs w:val="22"/>
              </w:rPr>
              <w:t xml:space="preserve">ger övergripande inriktning till övningsverksamheten. </w:t>
            </w:r>
          </w:p>
          <w:p w14:paraId="2F7A27F3" w14:textId="761C1C8F" w:rsidR="001764D7" w:rsidRPr="004563DF" w:rsidRDefault="001764D7" w:rsidP="00421B34">
            <w:pPr>
              <w:rPr>
                <w:rFonts w:ascii="Calibri" w:hAnsi="Calibri" w:cs="Calibri"/>
                <w:color w:val="000000"/>
              </w:rPr>
            </w:pPr>
          </w:p>
        </w:tc>
      </w:tr>
      <w:tr w:rsidR="006E48BB" w14:paraId="4D42B6E1" w14:textId="77777777" w:rsidTr="00421B34">
        <w:trPr>
          <w:trHeight w:val="372"/>
        </w:trPr>
        <w:tc>
          <w:tcPr>
            <w:tcW w:w="5231" w:type="dxa"/>
            <w:tcBorders>
              <w:top w:val="single" w:sz="4" w:space="0" w:color="auto"/>
              <w:left w:val="nil"/>
              <w:bottom w:val="single" w:sz="4" w:space="0" w:color="auto"/>
              <w:right w:val="single" w:sz="4" w:space="0" w:color="auto"/>
            </w:tcBorders>
            <w:shd w:val="clear" w:color="auto" w:fill="F2DBDB" w:themeFill="accent2" w:themeFillTint="33"/>
          </w:tcPr>
          <w:p w14:paraId="59FF2C5D" w14:textId="77777777" w:rsidR="006E48BB" w:rsidRPr="00A80934" w:rsidRDefault="006E48BB" w:rsidP="00421B34">
            <w:pPr>
              <w:rPr>
                <w:rFonts w:ascii="Calibri" w:hAnsi="Calibri" w:cs="Calibri"/>
                <w:color w:val="000000"/>
              </w:rPr>
            </w:pPr>
            <w:r w:rsidRPr="000F2FCC">
              <w:rPr>
                <w:rFonts w:asciiTheme="minorHAnsi" w:hAnsiTheme="minorHAnsi" w:cstheme="minorHAnsi"/>
                <w:b/>
                <w:bCs/>
              </w:rPr>
              <w:t>Mätetal</w:t>
            </w:r>
          </w:p>
        </w:tc>
        <w:tc>
          <w:tcPr>
            <w:tcW w:w="2129" w:type="dxa"/>
            <w:tcBorders>
              <w:top w:val="single" w:sz="4" w:space="0" w:color="auto"/>
              <w:left w:val="single" w:sz="4" w:space="0" w:color="auto"/>
              <w:bottom w:val="single" w:sz="4" w:space="0" w:color="auto"/>
              <w:right w:val="nil"/>
            </w:tcBorders>
            <w:shd w:val="clear" w:color="auto" w:fill="F2DBDB" w:themeFill="accent2" w:themeFillTint="33"/>
          </w:tcPr>
          <w:p w14:paraId="2D55D104" w14:textId="77777777" w:rsidR="006E48BB" w:rsidRDefault="006E48BB" w:rsidP="00421B34">
            <w:pPr>
              <w:rPr>
                <w:rFonts w:asciiTheme="minorHAnsi" w:hAnsiTheme="minorHAnsi" w:cstheme="minorHAnsi"/>
                <w:b/>
                <w:bCs/>
              </w:rPr>
            </w:pPr>
            <w:r w:rsidRPr="00D41EE6">
              <w:rPr>
                <w:rFonts w:asciiTheme="minorHAnsi" w:hAnsiTheme="minorHAnsi" w:cstheme="minorHAnsi"/>
                <w:b/>
                <w:bCs/>
              </w:rPr>
              <w:t>Uppföljning genom</w:t>
            </w:r>
          </w:p>
          <w:p w14:paraId="50404923" w14:textId="77777777" w:rsidR="006E48BB" w:rsidRPr="00A80934" w:rsidRDefault="006E48BB" w:rsidP="00421B34">
            <w:pPr>
              <w:rPr>
                <w:rFonts w:ascii="Calibri" w:hAnsi="Calibri" w:cs="Calibri"/>
                <w:color w:val="000000"/>
              </w:rPr>
            </w:pPr>
          </w:p>
        </w:tc>
      </w:tr>
      <w:tr w:rsidR="006E48BB" w14:paraId="0B446FD9" w14:textId="77777777" w:rsidTr="008A3ECA">
        <w:trPr>
          <w:trHeight w:val="765"/>
        </w:trPr>
        <w:tc>
          <w:tcPr>
            <w:tcW w:w="5231" w:type="dxa"/>
            <w:tcBorders>
              <w:top w:val="single" w:sz="4" w:space="0" w:color="auto"/>
              <w:left w:val="nil"/>
              <w:bottom w:val="single" w:sz="4" w:space="0" w:color="auto"/>
              <w:right w:val="single" w:sz="4" w:space="0" w:color="auto"/>
            </w:tcBorders>
            <w:shd w:val="clear" w:color="auto" w:fill="auto"/>
          </w:tcPr>
          <w:p w14:paraId="136EB68C" w14:textId="3DF94C93" w:rsidR="006E48BB" w:rsidRDefault="006E48BB" w:rsidP="00421B34">
            <w:pPr>
              <w:rPr>
                <w:rFonts w:ascii="Calibri" w:hAnsi="Calibri" w:cs="Calibri"/>
                <w:color w:val="000000"/>
              </w:rPr>
            </w:pPr>
            <w:r>
              <w:rPr>
                <w:rFonts w:ascii="Calibri" w:hAnsi="Calibri" w:cs="Calibri"/>
                <w:color w:val="000000"/>
              </w:rPr>
              <w:t>Kustkommuner</w:t>
            </w:r>
            <w:r w:rsidRPr="00A80934">
              <w:rPr>
                <w:rFonts w:ascii="Calibri" w:hAnsi="Calibri" w:cs="Calibri"/>
                <w:color w:val="000000"/>
              </w:rPr>
              <w:t xml:space="preserve"> </w:t>
            </w:r>
            <w:r w:rsidR="00E1043A">
              <w:rPr>
                <w:rFonts w:ascii="Calibri" w:hAnsi="Calibri" w:cs="Calibri"/>
                <w:color w:val="000000"/>
              </w:rPr>
              <w:t>bedriver övningsverksamhet</w:t>
            </w:r>
            <w:r w:rsidRPr="00A80934">
              <w:rPr>
                <w:rFonts w:ascii="Calibri" w:hAnsi="Calibri" w:cs="Calibri"/>
                <w:color w:val="000000"/>
              </w:rPr>
              <w:t xml:space="preserve"> utifrån </w:t>
            </w:r>
            <w:r w:rsidR="00DB7108">
              <w:rPr>
                <w:rFonts w:ascii="Calibri" w:hAnsi="Calibri" w:cs="Calibri"/>
                <w:color w:val="000000"/>
              </w:rPr>
              <w:t>övningsplaneringen</w:t>
            </w:r>
            <w:r w:rsidR="00FD516F">
              <w:rPr>
                <w:rFonts w:ascii="Calibri" w:hAnsi="Calibri" w:cs="Calibri"/>
                <w:color w:val="000000"/>
              </w:rPr>
              <w:t xml:space="preserve"> i länet och/eller kommunen</w:t>
            </w:r>
            <w:r w:rsidR="00DB7108">
              <w:rPr>
                <w:rFonts w:ascii="Calibri" w:hAnsi="Calibri" w:cs="Calibri"/>
                <w:color w:val="000000"/>
              </w:rPr>
              <w:t>.</w:t>
            </w:r>
          </w:p>
          <w:p w14:paraId="195DE66A" w14:textId="77777777" w:rsidR="006E48BB" w:rsidRPr="00A80934" w:rsidRDefault="006E48BB" w:rsidP="00421B34">
            <w:pPr>
              <w:rPr>
                <w:rFonts w:ascii="Calibri" w:hAnsi="Calibri" w:cs="Calibri"/>
                <w:b/>
                <w:bCs/>
                <w:color w:val="000000"/>
              </w:rPr>
            </w:pPr>
          </w:p>
        </w:tc>
        <w:tc>
          <w:tcPr>
            <w:tcW w:w="2129" w:type="dxa"/>
            <w:tcBorders>
              <w:top w:val="single" w:sz="4" w:space="0" w:color="auto"/>
              <w:left w:val="single" w:sz="4" w:space="0" w:color="auto"/>
              <w:bottom w:val="single" w:sz="4" w:space="0" w:color="auto"/>
              <w:right w:val="nil"/>
            </w:tcBorders>
            <w:shd w:val="clear" w:color="auto" w:fill="auto"/>
          </w:tcPr>
          <w:p w14:paraId="425D23E9" w14:textId="77777777" w:rsidR="006E48BB" w:rsidRDefault="006E48BB" w:rsidP="00421B34">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0A376C5A" w14:textId="77777777" w:rsidR="006E48BB" w:rsidRPr="00A80934" w:rsidRDefault="006E48BB" w:rsidP="00421B34">
            <w:pPr>
              <w:rPr>
                <w:rFonts w:ascii="Calibri" w:hAnsi="Calibri" w:cs="Calibri"/>
                <w:b/>
                <w:bCs/>
                <w:color w:val="000000"/>
              </w:rPr>
            </w:pPr>
          </w:p>
        </w:tc>
      </w:tr>
      <w:tr w:rsidR="006E48BB" w14:paraId="5CE51265" w14:textId="77777777" w:rsidTr="008A3ECA">
        <w:trPr>
          <w:trHeight w:val="384"/>
        </w:trPr>
        <w:tc>
          <w:tcPr>
            <w:tcW w:w="5231" w:type="dxa"/>
            <w:tcBorders>
              <w:top w:val="single" w:sz="4" w:space="0" w:color="auto"/>
              <w:left w:val="nil"/>
              <w:bottom w:val="nil"/>
              <w:right w:val="single" w:sz="4" w:space="0" w:color="auto"/>
            </w:tcBorders>
            <w:shd w:val="clear" w:color="auto" w:fill="auto"/>
          </w:tcPr>
          <w:p w14:paraId="5B837F51" w14:textId="49EBD665" w:rsidR="006E48BB" w:rsidRPr="00A80934" w:rsidRDefault="00DB7108" w:rsidP="00421B34">
            <w:pPr>
              <w:rPr>
                <w:rFonts w:ascii="Calibri" w:hAnsi="Calibri" w:cs="Calibri"/>
                <w:color w:val="000000"/>
              </w:rPr>
            </w:pPr>
            <w:r>
              <w:rPr>
                <w:rFonts w:ascii="Calibri" w:hAnsi="Calibri" w:cs="Calibri"/>
                <w:color w:val="000000"/>
              </w:rPr>
              <w:t>Kustkommuner</w:t>
            </w:r>
            <w:r w:rsidRPr="00A80934">
              <w:rPr>
                <w:rFonts w:ascii="Calibri" w:hAnsi="Calibri" w:cs="Calibri"/>
                <w:color w:val="000000"/>
              </w:rPr>
              <w:t xml:space="preserve"> </w:t>
            </w:r>
            <w:r>
              <w:rPr>
                <w:rFonts w:ascii="Calibri" w:hAnsi="Calibri" w:cs="Calibri"/>
                <w:color w:val="000000"/>
              </w:rPr>
              <w:t>säkerställer att ö</w:t>
            </w:r>
            <w:r w:rsidRPr="0023305C">
              <w:rPr>
                <w:rFonts w:ascii="Calibri" w:hAnsi="Calibri" w:cs="Calibri"/>
                <w:color w:val="000000"/>
              </w:rPr>
              <w:t>vningar</w:t>
            </w:r>
            <w:r>
              <w:rPr>
                <w:rFonts w:ascii="Calibri" w:hAnsi="Calibri" w:cs="Calibri"/>
                <w:color w:val="000000"/>
              </w:rPr>
              <w:t xml:space="preserve"> och inträffade händelser utvärderas. Erfarenheter och lärdomar av nationellt intresse delges vid NSO:s konferens för oljeskadeskydd.  </w:t>
            </w:r>
          </w:p>
        </w:tc>
        <w:tc>
          <w:tcPr>
            <w:tcW w:w="2129" w:type="dxa"/>
            <w:tcBorders>
              <w:top w:val="single" w:sz="4" w:space="0" w:color="auto"/>
              <w:left w:val="single" w:sz="4" w:space="0" w:color="auto"/>
              <w:bottom w:val="nil"/>
              <w:right w:val="nil"/>
            </w:tcBorders>
            <w:shd w:val="clear" w:color="auto" w:fill="auto"/>
          </w:tcPr>
          <w:p w14:paraId="743F94A9" w14:textId="77777777" w:rsidR="00E32236" w:rsidRDefault="00E32236" w:rsidP="00E32236">
            <w:pPr>
              <w:rPr>
                <w:rFonts w:ascii="Calibri" w:hAnsi="Calibri" w:cs="Calibri"/>
                <w:color w:val="000000"/>
              </w:rPr>
            </w:pPr>
            <w:r w:rsidRPr="005B7472">
              <w:rPr>
                <w:rFonts w:ascii="Calibri" w:hAnsi="Calibri" w:cs="Calibri"/>
                <w:color w:val="000000"/>
              </w:rPr>
              <w:t xml:space="preserve">Kartläggning av förmågan </w:t>
            </w:r>
            <w:r>
              <w:rPr>
                <w:rFonts w:ascii="Calibri" w:hAnsi="Calibri" w:cs="Calibri"/>
                <w:color w:val="000000"/>
              </w:rPr>
              <w:t>–</w:t>
            </w:r>
            <w:r w:rsidRPr="005B7472">
              <w:rPr>
                <w:rFonts w:ascii="Calibri" w:hAnsi="Calibri" w:cs="Calibri"/>
                <w:color w:val="000000"/>
              </w:rPr>
              <w:t xml:space="preserve"> Sveriges oljeskyddsberedskap</w:t>
            </w:r>
          </w:p>
          <w:p w14:paraId="5EB83C10" w14:textId="7EDCB603" w:rsidR="006E48BB" w:rsidRPr="00E32236" w:rsidRDefault="006E48BB" w:rsidP="00421B34">
            <w:pPr>
              <w:rPr>
                <w:rFonts w:ascii="Calibri" w:hAnsi="Calibri" w:cs="Calibri"/>
                <w:color w:val="000000"/>
              </w:rPr>
            </w:pPr>
          </w:p>
        </w:tc>
      </w:tr>
    </w:tbl>
    <w:p w14:paraId="1F25D117" w14:textId="77777777" w:rsidR="00B24304" w:rsidRDefault="00B24304" w:rsidP="00B24304">
      <w:pPr>
        <w:pStyle w:val="Brdtext"/>
      </w:pPr>
    </w:p>
    <w:sectPr w:rsidR="00B24304" w:rsidSect="007D5AE0">
      <w:pgSz w:w="11906" w:h="16838" w:code="9"/>
      <w:pgMar w:top="2155" w:right="2268" w:bottom="1134" w:left="2268"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57062" w16cex:dateUtc="2021-12-27T13:42:00Z"/>
  <w16cex:commentExtensible w16cex:durableId="25757063" w16cex:dateUtc="2021-12-20T10:15:00Z"/>
  <w16cex:commentExtensible w16cex:durableId="25757064" w16cex:dateUtc="2021-12-22T11:36:00Z"/>
  <w16cex:commentExtensible w16cex:durableId="25757065" w16cex:dateUtc="2021-12-22T11:00:00Z"/>
  <w16cex:commentExtensible w16cex:durableId="2575710A" w16cex:dateUtc="2021-12-28T10:18:00Z"/>
  <w16cex:commentExtensible w16cex:durableId="25757066" w16cex:dateUtc="2021-12-22T10:42:00Z"/>
  <w16cex:commentExtensible w16cex:durableId="25757175" w16cex:dateUtc="2021-12-28T10:20:00Z"/>
  <w16cex:commentExtensible w16cex:durableId="257571F0" w16cex:dateUtc="2021-12-28T10:22:00Z"/>
  <w16cex:commentExtensible w16cex:durableId="25757067" w16cex:dateUtc="2021-12-20T10:18:00Z"/>
  <w16cex:commentExtensible w16cex:durableId="257572B7" w16cex:dateUtc="2021-12-28T10:25:00Z"/>
  <w16cex:commentExtensible w16cex:durableId="257572CF" w16cex:dateUtc="2021-12-28T10:26:00Z"/>
  <w16cex:commentExtensible w16cex:durableId="25757068" w16cex:dateUtc="2021-12-22T11:38:00Z"/>
  <w16cex:commentExtensible w16cex:durableId="257573A8" w16cex:dateUtc="2021-12-28T10:29:00Z"/>
  <w16cex:commentExtensible w16cex:durableId="2575749F" w16cex:dateUtc="2021-12-28T10:33:00Z"/>
  <w16cex:commentExtensible w16cex:durableId="25757069" w16cex:dateUtc="2021-12-20T10:34:00Z"/>
  <w16cex:commentExtensible w16cex:durableId="2575706A" w16cex:dateUtc="2021-12-22T10:46:00Z"/>
  <w16cex:commentExtensible w16cex:durableId="2575706B" w16cex:dateUtc="2021-12-21T16:00:00Z"/>
  <w16cex:commentExtensible w16cex:durableId="25757D3F" w16cex:dateUtc="2021-12-28T11:10:00Z"/>
  <w16cex:commentExtensible w16cex:durableId="2575706C" w16cex:dateUtc="2021-12-20T10:30:00Z"/>
  <w16cex:commentExtensible w16cex:durableId="2575706D" w16cex:dateUtc="2021-12-21T16:22:00Z"/>
  <w16cex:commentExtensible w16cex:durableId="2575706E" w16cex:dateUtc="2021-12-20T10:25:00Z"/>
  <w16cex:commentExtensible w16cex:durableId="2575706F" w16cex:dateUtc="2021-12-22T15:51:00Z"/>
  <w16cex:commentExtensible w16cex:durableId="25757070" w16cex:dateUtc="2021-12-21T12:23:00Z"/>
  <w16cex:commentExtensible w16cex:durableId="25758231" w16cex:dateUtc="2021-12-28T11:31:00Z"/>
  <w16cex:commentExtensible w16cex:durableId="2575830E" w16cex:dateUtc="2021-12-28T11:35:00Z"/>
  <w16cex:commentExtensible w16cex:durableId="257582CF" w16cex:dateUtc="2021-12-28T11:34:00Z"/>
  <w16cex:commentExtensible w16cex:durableId="2575837E" w16cex:dateUtc="2021-12-28T11:37:00Z"/>
  <w16cex:commentExtensible w16cex:durableId="25758477" w16cex:dateUtc="2021-12-28T11:41:00Z"/>
  <w16cex:commentExtensible w16cex:durableId="257586DC" w16cex:dateUtc="2021-12-28T11:51:00Z"/>
  <w16cex:commentExtensible w16cex:durableId="25757071" w16cex:dateUtc="2021-12-27T16:37:00Z"/>
  <w16cex:commentExtensible w16cex:durableId="25758650" w16cex:dateUtc="2021-12-28T11:49:00Z"/>
  <w16cex:commentExtensible w16cex:durableId="257586FA" w16cex:dateUtc="2021-12-28T11:52:00Z"/>
  <w16cex:commentExtensible w16cex:durableId="25758736" w16cex:dateUtc="2021-12-28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B6CE9" w16cid:durableId="25757062"/>
  <w16cid:commentId w16cid:paraId="014E2D51" w16cid:durableId="25757063"/>
  <w16cid:commentId w16cid:paraId="7450F6B6" w16cid:durableId="25757064"/>
  <w16cid:commentId w16cid:paraId="403AFC55" w16cid:durableId="25757065"/>
  <w16cid:commentId w16cid:paraId="1945DFC7" w16cid:durableId="2575710A"/>
  <w16cid:commentId w16cid:paraId="40CA05D0" w16cid:durableId="25757066"/>
  <w16cid:commentId w16cid:paraId="4343D336" w16cid:durableId="25757175"/>
  <w16cid:commentId w16cid:paraId="4F2C63A2" w16cid:durableId="257571F0"/>
  <w16cid:commentId w16cid:paraId="14307112" w16cid:durableId="25757067"/>
  <w16cid:commentId w16cid:paraId="15793DA7" w16cid:durableId="257572B7"/>
  <w16cid:commentId w16cid:paraId="5FE5D8EA" w16cid:durableId="257572CF"/>
  <w16cid:commentId w16cid:paraId="377EB8EF" w16cid:durableId="25757068"/>
  <w16cid:commentId w16cid:paraId="480A2215" w16cid:durableId="257573A8"/>
  <w16cid:commentId w16cid:paraId="4AFB66B0" w16cid:durableId="2575749F"/>
  <w16cid:commentId w16cid:paraId="3EA7C698" w16cid:durableId="25757069"/>
  <w16cid:commentId w16cid:paraId="1D682CFE" w16cid:durableId="2575706A"/>
  <w16cid:commentId w16cid:paraId="6795F741" w16cid:durableId="2575706B"/>
  <w16cid:commentId w16cid:paraId="3AAA3644" w16cid:durableId="25757D3F"/>
  <w16cid:commentId w16cid:paraId="368BFD98" w16cid:durableId="2575706C"/>
  <w16cid:commentId w16cid:paraId="00A3DFD6" w16cid:durableId="2575706D"/>
  <w16cid:commentId w16cid:paraId="33125619" w16cid:durableId="2575706E"/>
  <w16cid:commentId w16cid:paraId="0646BA04" w16cid:durableId="2575706F"/>
  <w16cid:commentId w16cid:paraId="6B031BDE" w16cid:durableId="25757070"/>
  <w16cid:commentId w16cid:paraId="6D447C62" w16cid:durableId="25758231"/>
  <w16cid:commentId w16cid:paraId="23CEB71C" w16cid:durableId="2575830E"/>
  <w16cid:commentId w16cid:paraId="4311BF3F" w16cid:durableId="257582CF"/>
  <w16cid:commentId w16cid:paraId="51BB91A2" w16cid:durableId="2575837E"/>
  <w16cid:commentId w16cid:paraId="032B2BD9" w16cid:durableId="25758477"/>
  <w16cid:commentId w16cid:paraId="770F2B07" w16cid:durableId="257586DC"/>
  <w16cid:commentId w16cid:paraId="041D6E8B" w16cid:durableId="25757071"/>
  <w16cid:commentId w16cid:paraId="6540FB30" w16cid:durableId="25758650"/>
  <w16cid:commentId w16cid:paraId="0C7B412C" w16cid:durableId="257586FA"/>
  <w16cid:commentId w16cid:paraId="3F8B9EAC" w16cid:durableId="257587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4C34E" w14:textId="77777777" w:rsidR="000E2853" w:rsidRDefault="000E2853" w:rsidP="00487F05">
      <w:pPr>
        <w:pStyle w:val="Titel1"/>
      </w:pPr>
      <w:r>
        <w:separator/>
      </w:r>
    </w:p>
  </w:endnote>
  <w:endnote w:type="continuationSeparator" w:id="0">
    <w:p w14:paraId="1EC06C94" w14:textId="77777777" w:rsidR="000E2853" w:rsidRDefault="000E2853" w:rsidP="00487F05">
      <w:pPr>
        <w:pStyle w:val="Titel1"/>
      </w:pPr>
      <w:r>
        <w:continuationSeparator/>
      </w:r>
    </w:p>
  </w:endnote>
  <w:endnote w:type="continuationNotice" w:id="1">
    <w:p w14:paraId="6E2397BE" w14:textId="77777777" w:rsidR="000E2853" w:rsidRDefault="000E28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ling Nova Text Pro">
    <w:altName w:val="Cambria"/>
    <w:panose1 w:val="00000000000000000000"/>
    <w:charset w:val="00"/>
    <w:family w:val="roman"/>
    <w:notTrueType/>
    <w:pitch w:val="default"/>
    <w:sig w:usb0="00000003" w:usb1="00000000" w:usb2="00000000" w:usb3="00000000" w:csb0="00000001" w:csb1="00000000"/>
  </w:font>
  <w:font w:name="SwiftCom-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3B00B" w14:textId="77777777" w:rsidR="000E2853" w:rsidRDefault="000E2853" w:rsidP="00487F05">
      <w:pPr>
        <w:pStyle w:val="Titel1"/>
      </w:pPr>
      <w:r>
        <w:separator/>
      </w:r>
    </w:p>
  </w:footnote>
  <w:footnote w:type="continuationSeparator" w:id="0">
    <w:p w14:paraId="36AE7AD0" w14:textId="77777777" w:rsidR="000E2853" w:rsidRDefault="000E2853" w:rsidP="00487F05">
      <w:pPr>
        <w:pStyle w:val="Titel1"/>
      </w:pPr>
      <w:r>
        <w:continuationSeparator/>
      </w:r>
    </w:p>
  </w:footnote>
  <w:footnote w:type="continuationNotice" w:id="1">
    <w:p w14:paraId="45D6F3E3" w14:textId="77777777" w:rsidR="000E2853" w:rsidRDefault="000E2853">
      <w:pPr>
        <w:spacing w:line="240" w:lineRule="auto"/>
      </w:pPr>
    </w:p>
  </w:footnote>
  <w:footnote w:id="2">
    <w:p w14:paraId="4C384149" w14:textId="77777777" w:rsidR="002E51EC" w:rsidRDefault="002E51EC">
      <w:pPr>
        <w:pStyle w:val="Fotnotstext"/>
      </w:pPr>
      <w:r>
        <w:rPr>
          <w:rStyle w:val="Fotnotsreferens"/>
        </w:rPr>
        <w:footnoteRef/>
      </w:r>
      <w:r>
        <w:t xml:space="preserve"> CBRNE är en förkortning av engelskans ord för kemiska, biologiska, radiologiska, nukleära och explosiva ämnen och används synonymt med farliga ämnen. </w:t>
      </w:r>
    </w:p>
  </w:footnote>
  <w:footnote w:id="3">
    <w:p w14:paraId="252D70E0" w14:textId="3218ECB8" w:rsidR="002E51EC" w:rsidRDefault="002E51EC" w:rsidP="005953C2">
      <w:pPr>
        <w:pStyle w:val="Fotnotstext"/>
      </w:pPr>
      <w:r>
        <w:rPr>
          <w:rStyle w:val="Fotnotsreferens"/>
        </w:rPr>
        <w:footnoteRef/>
      </w:r>
      <w:r>
        <w:t xml:space="preserve"> Aktörsgemensam CBRNE-strategi, MSB. </w:t>
      </w:r>
      <w:hyperlink r:id="rId1" w:history="1">
        <w:r w:rsidRPr="006E3F6F">
          <w:rPr>
            <w:rStyle w:val="Hyperlnk"/>
          </w:rPr>
          <w:t>https://www.msb.se/sv/amnesomraden/skydd-mot-olyckor-och-farliga-amnen/cbrne/cbrne-strategi/</w:t>
        </w:r>
      </w:hyperlink>
      <w:r>
        <w:t xml:space="preserve"> </w:t>
      </w:r>
    </w:p>
  </w:footnote>
  <w:footnote w:id="4">
    <w:p w14:paraId="5B5015AB" w14:textId="77777777" w:rsidR="002E51EC" w:rsidRDefault="002E51EC">
      <w:pPr>
        <w:pStyle w:val="Fotnotstext"/>
      </w:pPr>
      <w:r>
        <w:rPr>
          <w:rStyle w:val="Fotnotsreferens"/>
        </w:rPr>
        <w:footnoteRef/>
      </w:r>
      <w:r>
        <w:t xml:space="preserve"> Termen </w:t>
      </w:r>
      <w:r w:rsidRPr="00895C3C">
        <w:rPr>
          <w:i/>
        </w:rPr>
        <w:t>samhällsvärden</w:t>
      </w:r>
      <w:r>
        <w:t xml:space="preserve"> i den övergripande målbilden är synonym med begreppet </w:t>
      </w:r>
      <w:r w:rsidRPr="00895C3C">
        <w:rPr>
          <w:i/>
        </w:rPr>
        <w:t>samhällets funktionalitet</w:t>
      </w:r>
      <w:r>
        <w:t xml:space="preserve"> i figur 2, och Inriktningen för samhällsskydd och beredskap. </w:t>
      </w:r>
    </w:p>
  </w:footnote>
  <w:footnote w:id="5">
    <w:p w14:paraId="2A5C2839" w14:textId="05B0C1BB" w:rsidR="002E51EC" w:rsidRDefault="002E51EC">
      <w:pPr>
        <w:pStyle w:val="Fotnotstext"/>
      </w:pPr>
      <w:r>
        <w:rPr>
          <w:rStyle w:val="Fotnotsreferens"/>
        </w:rPr>
        <w:footnoteRef/>
      </w:r>
      <w:r>
        <w:t xml:space="preserve"> NSO består av Havs- och vattenmyndigheten, Kustbevakningen, Myndigheten för samhällsskydd och beredskap, Naturvårdsverket, Sjöfartsverket, Transportstyrelsen, Länsstyrelserna och Sveriges Kommuner och Regioner</w:t>
      </w:r>
    </w:p>
  </w:footnote>
  <w:footnote w:id="6">
    <w:p w14:paraId="5454A637" w14:textId="3AA02F15" w:rsidR="002E51EC" w:rsidRDefault="002E51EC">
      <w:pPr>
        <w:pStyle w:val="Fotnotstext"/>
      </w:pPr>
      <w:r w:rsidRPr="00425DDE">
        <w:rPr>
          <w:rStyle w:val="Fotnotsreferens"/>
        </w:rPr>
        <w:footnoteRef/>
      </w:r>
      <w:r w:rsidRPr="00425DDE">
        <w:t xml:space="preserve"> </w:t>
      </w:r>
      <w:r>
        <w:t xml:space="preserve">Länk till rapporten </w:t>
      </w:r>
      <w:hyperlink r:id="rId2" w:history="1">
        <w:r w:rsidRPr="006E3F6F">
          <w:rPr>
            <w:rStyle w:val="Hyperlnk"/>
          </w:rPr>
          <w:t>https://rib.msb.se/filer/pdf/29856.pdf</w:t>
        </w:r>
      </w:hyperlink>
      <w:r>
        <w:t xml:space="preserve"> </w:t>
      </w:r>
    </w:p>
  </w:footnote>
  <w:footnote w:id="7">
    <w:p w14:paraId="10054ECB" w14:textId="02909588" w:rsidR="002E51EC" w:rsidRDefault="002E51EC">
      <w:pPr>
        <w:pStyle w:val="Fotnotstext"/>
      </w:pPr>
      <w:r>
        <w:rPr>
          <w:rStyle w:val="Fotnotsreferens"/>
        </w:rPr>
        <w:footnoteRef/>
      </w:r>
      <w:r>
        <w:t xml:space="preserve"> Denna åtgärd var även prioriterad i handlingsplanen från 2016 och riktar sig till NSO (åtgärd 2) </w:t>
      </w:r>
      <w:hyperlink r:id="rId3" w:history="1">
        <w:r w:rsidRPr="006E3F6F">
          <w:rPr>
            <w:rStyle w:val="Hyperlnk"/>
          </w:rPr>
          <w:t>https://rib.msb.se/filer/pdf/28045.pdf</w:t>
        </w:r>
      </w:hyperlink>
      <w:r>
        <w:t xml:space="preserve">   </w:t>
      </w:r>
    </w:p>
  </w:footnote>
  <w:footnote w:id="8">
    <w:p w14:paraId="539DE418" w14:textId="448CEC98" w:rsidR="002E51EC" w:rsidRDefault="002E51EC">
      <w:pPr>
        <w:pStyle w:val="Fotnotstext"/>
      </w:pPr>
      <w:r>
        <w:rPr>
          <w:rStyle w:val="Fotnotsreferens"/>
        </w:rPr>
        <w:footnoteRef/>
      </w:r>
      <w:r>
        <w:t xml:space="preserve"> </w:t>
      </w:r>
      <w:r w:rsidRPr="008A3ECA">
        <w:rPr>
          <w:rStyle w:val="Hyperlnk"/>
        </w:rPr>
        <w:t xml:space="preserve"> </w:t>
      </w:r>
      <w:hyperlink r:id="rId4" w:history="1">
        <w:r w:rsidRPr="008A3ECA">
          <w:rPr>
            <w:rStyle w:val="Hyperlnk"/>
          </w:rPr>
          <w:t>https://www.imo.org/en/About/Conventions/Pages/Protocol-on-Preparedness,-Response-and-Co-operation-to-pollution-Incidents-by-Hazardous-and-Noxious-Substances-(OPRC-HNS-Pr.aspx</w:t>
        </w:r>
      </w:hyperlink>
    </w:p>
  </w:footnote>
  <w:footnote w:id="9">
    <w:p w14:paraId="69AAE805" w14:textId="5CE7D979" w:rsidR="002E51EC" w:rsidRDefault="002E51EC">
      <w:pPr>
        <w:pStyle w:val="Fotnotstext"/>
      </w:pPr>
      <w:r>
        <w:rPr>
          <w:rStyle w:val="Fotnotsreferens"/>
        </w:rPr>
        <w:footnoteRef/>
      </w:r>
      <w:r>
        <w:t xml:space="preserve"> Vägledning verksamhetslogik, </w:t>
      </w:r>
      <w:r w:rsidRPr="001012DC">
        <w:t>Ekonomistyrningsverket</w:t>
      </w:r>
      <w:r>
        <w:t xml:space="preserve"> (2016:31) </w:t>
      </w:r>
      <w:hyperlink r:id="rId5" w:history="1">
        <w:r w:rsidRPr="008462C3">
          <w:rPr>
            <w:rStyle w:val="Hyperlnk"/>
          </w:rPr>
          <w:t>https://www.esv.se/contentassets/147db303c0ee4b8f8bd79f9bf2155d91/2016-31-vagledning-verksamhetslogik.pdf</w:t>
        </w:r>
      </w:hyperlink>
      <w:r>
        <w:t xml:space="preserve"> </w:t>
      </w:r>
    </w:p>
  </w:footnote>
  <w:footnote w:id="10">
    <w:p w14:paraId="585CCE95" w14:textId="77777777" w:rsidR="002E51EC" w:rsidRDefault="002E51EC" w:rsidP="002379CA">
      <w:pPr>
        <w:pStyle w:val="Fotnotstext"/>
      </w:pPr>
      <w:r>
        <w:rPr>
          <w:rStyle w:val="Fotnotsreferens"/>
        </w:rPr>
        <w:footnoteRef/>
      </w:r>
      <w:r>
        <w:t xml:space="preserve"> </w:t>
      </w:r>
      <w:r w:rsidRPr="000608D5">
        <w:rPr>
          <w:rFonts w:eastAsiaTheme="minorHAnsi"/>
          <w:i/>
          <w:sz w:val="21"/>
        </w:rPr>
        <w:t>När oljan når land – har staten säkerställt en god kommunal beredskap för oljekatastrofer?</w:t>
      </w:r>
      <w:r w:rsidRPr="000608D5">
        <w:rPr>
          <w:rFonts w:eastAsiaTheme="minorHAnsi"/>
          <w:sz w:val="21"/>
        </w:rPr>
        <w:t xml:space="preserve"> (</w:t>
      </w:r>
      <w:proofErr w:type="spellStart"/>
      <w:r w:rsidRPr="000608D5">
        <w:rPr>
          <w:rFonts w:eastAsiaTheme="minorHAnsi"/>
          <w:sz w:val="21"/>
        </w:rPr>
        <w:t>RiR</w:t>
      </w:r>
      <w:proofErr w:type="spellEnd"/>
      <w:r w:rsidRPr="000608D5">
        <w:rPr>
          <w:rFonts w:eastAsiaTheme="minorHAnsi"/>
          <w:sz w:val="21"/>
        </w:rPr>
        <w:t xml:space="preserve"> 2005:31)</w:t>
      </w:r>
      <w:r>
        <w:rPr>
          <w:rFonts w:eastAsiaTheme="minorHAnsi"/>
          <w:sz w:val="21"/>
        </w:rPr>
        <w:t xml:space="preserve"> </w:t>
      </w:r>
      <w:hyperlink r:id="rId6" w:history="1">
        <w:r w:rsidRPr="00AA1060">
          <w:rPr>
            <w:rStyle w:val="Hyperlnk"/>
            <w:rFonts w:eastAsiaTheme="minorHAnsi"/>
            <w:sz w:val="21"/>
          </w:rPr>
          <w:t>https://www.riksrevisionen.se/rapporter/granskningsrapporter/2005/nar-oljan-nar-land---har-staten-sakerstallt-en-god-kommunal-beredskap-for-oljekatastrofer.html</w:t>
        </w:r>
      </w:hyperlink>
      <w:r>
        <w:rPr>
          <w:rFonts w:eastAsiaTheme="minorHAnsi"/>
          <w:sz w:val="21"/>
        </w:rPr>
        <w:t xml:space="preserve"> </w:t>
      </w:r>
    </w:p>
  </w:footnote>
  <w:footnote w:id="11">
    <w:p w14:paraId="4AD2F39C" w14:textId="77777777" w:rsidR="002E51EC" w:rsidRDefault="002E51EC" w:rsidP="005B2F14">
      <w:pPr>
        <w:pStyle w:val="Fotnotstext"/>
      </w:pPr>
      <w:r>
        <w:rPr>
          <w:rStyle w:val="Fotnotsreferens"/>
        </w:rPr>
        <w:footnoteRef/>
      </w:r>
      <w:r>
        <w:t xml:space="preserve"> </w:t>
      </w:r>
      <w:hyperlink r:id="rId7" w:history="1">
        <w:r w:rsidRPr="006E3F6F">
          <w:rPr>
            <w:rStyle w:val="Hyperlnk"/>
          </w:rPr>
          <w:t>https://www.msb.se/sv/amnesomraden/skydd-mot-olyckor-och-farliga-amnen/cbrne/oljeskadeskydd/nationell-konferens-for-oljeskadeskydd/</w:t>
        </w:r>
      </w:hyperlink>
      <w:r>
        <w:t xml:space="preserve"> </w:t>
      </w:r>
    </w:p>
  </w:footnote>
  <w:footnote w:id="12">
    <w:p w14:paraId="3AF0B991" w14:textId="762C76E2" w:rsidR="002E51EC" w:rsidRDefault="002E51EC">
      <w:pPr>
        <w:pStyle w:val="Fotnotstext"/>
      </w:pPr>
      <w:r>
        <w:rPr>
          <w:rStyle w:val="Fotnotsreferens"/>
        </w:rPr>
        <w:footnoteRef/>
      </w:r>
      <w:r>
        <w:t xml:space="preserve"> </w:t>
      </w:r>
      <w:hyperlink r:id="rId8" w:history="1">
        <w:r w:rsidRPr="006E3F6F">
          <w:rPr>
            <w:rStyle w:val="Hyperlnk"/>
          </w:rPr>
          <w:t>https://rib.msb.se/filer/pdf/29856.pdf</w:t>
        </w:r>
      </w:hyperlink>
      <w:r>
        <w:t xml:space="preserve"> </w:t>
      </w:r>
    </w:p>
  </w:footnote>
  <w:footnote w:id="13">
    <w:p w14:paraId="21FCA6A4" w14:textId="52CB073A" w:rsidR="002E51EC" w:rsidRDefault="002E51EC">
      <w:pPr>
        <w:pStyle w:val="Fotnotstext"/>
      </w:pPr>
      <w:r>
        <w:rPr>
          <w:rStyle w:val="Fotnotsreferens"/>
        </w:rPr>
        <w:footnoteRef/>
      </w:r>
      <w:r>
        <w:t xml:space="preserve"> Praktisk projektstyrning (PPS) </w:t>
      </w:r>
      <w:hyperlink r:id="rId9" w:history="1">
        <w:r w:rsidRPr="00AA1060">
          <w:rPr>
            <w:rStyle w:val="Hyperlnk"/>
          </w:rPr>
          <w:t>https://www.tietoevry.com/se/tjanster/affars-och-teknikradgivning/pps/pps-modellen/pps-projektstyrning/</w:t>
        </w:r>
      </w:hyperlink>
      <w:r>
        <w:t xml:space="preserve"> </w:t>
      </w:r>
    </w:p>
  </w:footnote>
  <w:footnote w:id="14">
    <w:p w14:paraId="0AB5E687" w14:textId="58F89D90" w:rsidR="002E51EC" w:rsidRDefault="002E51EC">
      <w:pPr>
        <w:pStyle w:val="Fotnotstext"/>
      </w:pPr>
      <w:r>
        <w:rPr>
          <w:rStyle w:val="Fotnotsreferens"/>
        </w:rPr>
        <w:footnoteRef/>
      </w:r>
      <w:r>
        <w:t xml:space="preserve"> Ett sådant exempel finns i Tyskland där en expertgrupp bestående av experter från berörda ansvariga myndigheter och organisationer är</w:t>
      </w:r>
      <w:r w:rsidRPr="00FB31C1">
        <w:t xml:space="preserve"> </w:t>
      </w:r>
      <w:r>
        <w:t xml:space="preserve">underställd regeringen.  </w:t>
      </w:r>
    </w:p>
  </w:footnote>
  <w:footnote w:id="15">
    <w:p w14:paraId="5F9E4A98" w14:textId="77777777" w:rsidR="002E51EC" w:rsidRDefault="002E51EC" w:rsidP="005343B1">
      <w:pPr>
        <w:pStyle w:val="Fotnotstext"/>
      </w:pPr>
      <w:r>
        <w:rPr>
          <w:rStyle w:val="Fotnotsreferens"/>
        </w:rPr>
        <w:footnoteRef/>
      </w:r>
      <w:r>
        <w:t xml:space="preserve"> NSO myndigheterna är fördelade på miljö-, justitie-, finans- samt infrastrukturdepartementet. </w:t>
      </w:r>
    </w:p>
  </w:footnote>
  <w:footnote w:id="16">
    <w:p w14:paraId="278F664C" w14:textId="04180158" w:rsidR="002E51EC" w:rsidRPr="00D0717F" w:rsidRDefault="002E51EC">
      <w:pPr>
        <w:pStyle w:val="Fotnotstext"/>
        <w:rPr>
          <w:sz w:val="18"/>
        </w:rPr>
      </w:pPr>
      <w:r>
        <w:rPr>
          <w:rStyle w:val="Fotnotsreferens"/>
        </w:rPr>
        <w:footnoteRef/>
      </w:r>
      <w:r>
        <w:t xml:space="preserve"> </w:t>
      </w:r>
      <w:r w:rsidRPr="00601134">
        <w:t xml:space="preserve">Gemensamma grunder för samverkan och ledning är förhållningssätt och arbetssätt som ska användas vid samhällsstörningar </w:t>
      </w:r>
      <w:hyperlink r:id="rId10" w:history="1">
        <w:r w:rsidRPr="00AA1060">
          <w:rPr>
            <w:rStyle w:val="Hyperlnk"/>
            <w:sz w:val="18"/>
          </w:rPr>
          <w:t>https://www.msb.se/sv/amnesomraden/krisberedskap--civilt-forsvar/samverkan-och-ledning/gemensamma-grunder-for-samverkan-och-ledning-vid-samhallsstorningar/</w:t>
        </w:r>
      </w:hyperlink>
      <w:r>
        <w:rPr>
          <w:sz w:val="18"/>
        </w:rPr>
        <w:t xml:space="preserve"> </w:t>
      </w:r>
    </w:p>
  </w:footnote>
  <w:footnote w:id="17">
    <w:p w14:paraId="4BB26E20" w14:textId="13A45B3B" w:rsidR="002E51EC" w:rsidRDefault="002E51EC">
      <w:pPr>
        <w:pStyle w:val="Fotnotstext"/>
      </w:pPr>
      <w:r>
        <w:rPr>
          <w:rStyle w:val="Fotnotsreferens"/>
        </w:rPr>
        <w:footnoteRef/>
      </w:r>
      <w:r>
        <w:t xml:space="preserve"> Fortsättning av åtgärd 1 i 2016-års handlingsplan. </w:t>
      </w:r>
    </w:p>
  </w:footnote>
  <w:footnote w:id="18">
    <w:p w14:paraId="7757008E" w14:textId="217FF81F" w:rsidR="002E51EC" w:rsidRDefault="002E51EC">
      <w:pPr>
        <w:pStyle w:val="Fotnotstext"/>
      </w:pPr>
      <w:r>
        <w:rPr>
          <w:rStyle w:val="Fotnotsreferens"/>
        </w:rPr>
        <w:footnoteRef/>
      </w:r>
      <w:r>
        <w:t xml:space="preserve"> Fortsättning av åtgärd 3 i 2016-års handlingsplan.</w:t>
      </w:r>
    </w:p>
  </w:footnote>
  <w:footnote w:id="19">
    <w:p w14:paraId="665042F1" w14:textId="7960EFB4" w:rsidR="002E51EC" w:rsidRDefault="002E51EC">
      <w:pPr>
        <w:pStyle w:val="Fotnotstext"/>
      </w:pPr>
      <w:r>
        <w:rPr>
          <w:rStyle w:val="Fotnotsreferens"/>
        </w:rPr>
        <w:footnoteRef/>
      </w:r>
      <w:r>
        <w:t xml:space="preserve"> Nytt åtgärdsförslag i 2022-års handlingsplan.  </w:t>
      </w:r>
    </w:p>
  </w:footnote>
  <w:footnote w:id="20">
    <w:p w14:paraId="4FE2E7EC" w14:textId="096A71EC" w:rsidR="002E51EC" w:rsidRDefault="002E51EC">
      <w:pPr>
        <w:pStyle w:val="Fotnotstext"/>
      </w:pPr>
      <w:r>
        <w:rPr>
          <w:rStyle w:val="Fotnotsreferens"/>
        </w:rPr>
        <w:footnoteRef/>
      </w:r>
      <w:r>
        <w:t xml:space="preserve"> Fortsättning av åtgärd 4 i 2016-års handlingsplan.</w:t>
      </w:r>
    </w:p>
  </w:footnote>
  <w:footnote w:id="21">
    <w:p w14:paraId="0101EA8C" w14:textId="4A266CBF" w:rsidR="002E51EC" w:rsidRDefault="002E51EC">
      <w:pPr>
        <w:pStyle w:val="Fotnotstext"/>
      </w:pPr>
      <w:r>
        <w:rPr>
          <w:rStyle w:val="Fotnotsreferens"/>
        </w:rPr>
        <w:footnoteRef/>
      </w:r>
      <w:r>
        <w:t xml:space="preserve"> Fortsättning och förtydligande av åtgärd 1 i 2016-års handlingsplan.</w:t>
      </w:r>
      <w:r w:rsidRPr="00D41EE6">
        <w:t xml:space="preserve"> </w:t>
      </w:r>
      <w:hyperlink r:id="rId11" w:history="1">
        <w:r w:rsidRPr="00AA1060">
          <w:rPr>
            <w:rStyle w:val="Hyperlnk"/>
          </w:rPr>
          <w:t>https://rib.msb.se/filer/pdf/28045.pdf</w:t>
        </w:r>
      </w:hyperlink>
      <w:r>
        <w:t xml:space="preserve"> </w:t>
      </w:r>
    </w:p>
  </w:footnote>
  <w:footnote w:id="22">
    <w:p w14:paraId="77D25935" w14:textId="65D22357" w:rsidR="002E51EC" w:rsidRDefault="002E51EC">
      <w:pPr>
        <w:pStyle w:val="Fotnotstext"/>
      </w:pPr>
      <w:r>
        <w:rPr>
          <w:rStyle w:val="Fotnotsreferens"/>
        </w:rPr>
        <w:footnoteRef/>
      </w:r>
      <w:r>
        <w:t xml:space="preserve"> Nytt åtgärdsförslag i 2022-års handlingsplan, med inriktning från strategins mål 6. Ökad regional samordnande förmåga </w:t>
      </w:r>
      <w:hyperlink r:id="rId12" w:history="1">
        <w:r w:rsidRPr="00AA1060">
          <w:rPr>
            <w:rStyle w:val="Hyperlnk"/>
          </w:rPr>
          <w:t>https://rib.msb.se/filer/pdf/27384.pdf</w:t>
        </w:r>
      </w:hyperlink>
      <w:r>
        <w:t xml:space="preserve"> </w:t>
      </w:r>
    </w:p>
  </w:footnote>
  <w:footnote w:id="23">
    <w:p w14:paraId="6725C01A" w14:textId="6EBEB386" w:rsidR="002E51EC" w:rsidRDefault="002E51EC">
      <w:pPr>
        <w:pStyle w:val="Fotnotstext"/>
      </w:pPr>
      <w:r>
        <w:rPr>
          <w:rStyle w:val="Fotnotsreferens"/>
        </w:rPr>
        <w:footnoteRef/>
      </w:r>
      <w:r>
        <w:t xml:space="preserve"> Fortsättning av åtgärd 6 i 2016-års handlingsplan.</w:t>
      </w:r>
    </w:p>
  </w:footnote>
  <w:footnote w:id="24">
    <w:p w14:paraId="3F872A11" w14:textId="77777777" w:rsidR="002E51EC" w:rsidRDefault="002E51EC" w:rsidP="008A3ECA">
      <w:pPr>
        <w:pStyle w:val="Fotnotstext"/>
      </w:pPr>
      <w:r>
        <w:rPr>
          <w:rStyle w:val="Fotnotsreferens"/>
        </w:rPr>
        <w:footnoteRef/>
      </w:r>
      <w:r>
        <w:t xml:space="preserve"> </w:t>
      </w:r>
      <w:r w:rsidRPr="00EB61C6">
        <w:t>EU direktiv 2002/59/EC</w:t>
      </w:r>
    </w:p>
  </w:footnote>
  <w:footnote w:id="25">
    <w:p w14:paraId="18216EA9" w14:textId="7DADF288" w:rsidR="002E51EC" w:rsidRDefault="002E51EC">
      <w:pPr>
        <w:pStyle w:val="Fotnotstext"/>
      </w:pPr>
      <w:r>
        <w:rPr>
          <w:rStyle w:val="Fotnotsreferens"/>
        </w:rPr>
        <w:footnoteRef/>
      </w:r>
      <w:r>
        <w:t xml:space="preserve"> Fortsättning av åtgärd 8 i 2016-års handlingsplan.</w:t>
      </w:r>
    </w:p>
  </w:footnote>
  <w:footnote w:id="26">
    <w:p w14:paraId="44B538B8" w14:textId="139C7F9F" w:rsidR="002E51EC" w:rsidRDefault="002E51EC">
      <w:pPr>
        <w:pStyle w:val="Fotnotstext"/>
      </w:pPr>
      <w:r>
        <w:rPr>
          <w:rStyle w:val="Fotnotsreferens"/>
        </w:rPr>
        <w:footnoteRef/>
      </w:r>
      <w:r>
        <w:t xml:space="preserve"> Nytt åtgärdsförslag i 2022-års handlingsplan.</w:t>
      </w:r>
    </w:p>
  </w:footnote>
  <w:footnote w:id="27">
    <w:p w14:paraId="48DC1CCE" w14:textId="7236226B" w:rsidR="002E51EC" w:rsidRDefault="002E51EC">
      <w:pPr>
        <w:pStyle w:val="Fotnotstext"/>
      </w:pPr>
      <w:r>
        <w:rPr>
          <w:rStyle w:val="Fotnotsreferens"/>
        </w:rPr>
        <w:footnoteRef/>
      </w:r>
      <w:r>
        <w:t xml:space="preserve"> Nytt åtgärdsförslag i 2022-års handlingsplan</w:t>
      </w:r>
      <w:r w:rsidRPr="0023305C">
        <w:t xml:space="preserve"> </w:t>
      </w:r>
      <w:r>
        <w:t xml:space="preserve">med inriktning från strategins mål 6. Ökad regional samordnande förmåga. </w:t>
      </w:r>
    </w:p>
  </w:footnote>
  <w:footnote w:id="28">
    <w:p w14:paraId="78268C81" w14:textId="77777777" w:rsidR="002E51EC" w:rsidRDefault="002E51EC" w:rsidP="00F84DBD">
      <w:pPr>
        <w:pStyle w:val="Fotnotstext"/>
      </w:pPr>
      <w:r>
        <w:rPr>
          <w:rStyle w:val="Fotnotsreferens"/>
        </w:rPr>
        <w:footnoteRef/>
      </w:r>
      <w:r>
        <w:t xml:space="preserve"> Nytt åtgärdsförslag i 2022-års handlingsplan.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4724" w14:textId="77777777" w:rsidR="002E51EC" w:rsidRDefault="002E51EC">
    <w:pPr>
      <w:pStyle w:val="Sidhuvud"/>
    </w:pPr>
    <w:r>
      <w:rPr>
        <w:noProof/>
      </w:rPr>
      <w:pict w14:anchorId="2EC4E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10413" o:spid="_x0000_s2050" type="#_x0000_t136" style="position:absolute;left:0;text-align:left;margin-left:0;margin-top:0;width:450.25pt;height:69.25pt;rotation:315;z-index:-251658239;mso-position-horizontal:center;mso-position-horizontal-relative:margin;mso-position-vertical:center;mso-position-vertical-relative:margin" o:allowincell="f" fillcolor="#eaeaea" stroked="f">
          <v:textpath style="font-family:&quot;Georgia&quot;;font-size:1pt" string="Remiss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3" w:type="dxa"/>
      <w:tblInd w:w="-1064" w:type="dxa"/>
      <w:tblLayout w:type="fixed"/>
      <w:tblCellMar>
        <w:left w:w="70" w:type="dxa"/>
        <w:right w:w="70" w:type="dxa"/>
      </w:tblCellMar>
      <w:tblLook w:val="0000" w:firstRow="0" w:lastRow="0" w:firstColumn="0" w:lastColumn="0" w:noHBand="0" w:noVBand="0"/>
    </w:tblPr>
    <w:tblGrid>
      <w:gridCol w:w="5320"/>
      <w:gridCol w:w="1934"/>
      <w:gridCol w:w="2013"/>
      <w:gridCol w:w="1036"/>
    </w:tblGrid>
    <w:tr w:rsidR="002E51EC" w14:paraId="66326F31" w14:textId="77777777" w:rsidTr="00A760C6">
      <w:trPr>
        <w:cantSplit/>
        <w:trHeight w:hRule="exact" w:val="567"/>
      </w:trPr>
      <w:tc>
        <w:tcPr>
          <w:tcW w:w="5320" w:type="dxa"/>
          <w:vAlign w:val="bottom"/>
        </w:tcPr>
        <w:p w14:paraId="5C3D3F80" w14:textId="77777777" w:rsidR="002E51EC" w:rsidRDefault="002E51EC" w:rsidP="00A760C6">
          <w:pPr>
            <w:rPr>
              <w:b/>
              <w:bCs/>
              <w:snapToGrid w:val="0"/>
            </w:rPr>
          </w:pPr>
          <w:r>
            <w:rPr>
              <w:b/>
              <w:bCs/>
              <w:snapToGrid w:val="0"/>
            </w:rPr>
            <w:t>Nationell samverkansgrupp</w:t>
          </w:r>
        </w:p>
        <w:p w14:paraId="34B9FE26" w14:textId="77777777" w:rsidR="002E51EC" w:rsidRPr="0044494E" w:rsidRDefault="002E51EC" w:rsidP="00A760C6">
          <w:pPr>
            <w:rPr>
              <w:b/>
              <w:bCs/>
              <w:snapToGrid w:val="0"/>
            </w:rPr>
          </w:pPr>
          <w:r>
            <w:rPr>
              <w:b/>
              <w:bCs/>
              <w:snapToGrid w:val="0"/>
            </w:rPr>
            <w:t>för oljeskadeskydd (NSO)</w:t>
          </w:r>
        </w:p>
      </w:tc>
      <w:tc>
        <w:tcPr>
          <w:tcW w:w="3947" w:type="dxa"/>
          <w:gridSpan w:val="2"/>
          <w:vAlign w:val="bottom"/>
        </w:tcPr>
        <w:p w14:paraId="5E57B9D1" w14:textId="2E845BAD" w:rsidR="002E51EC" w:rsidRDefault="002E51EC" w:rsidP="00A760C6">
          <w:pPr>
            <w:pStyle w:val="Dokumentrubrik"/>
            <w:rPr>
              <w:snapToGrid w:val="0"/>
            </w:rPr>
          </w:pPr>
          <w:bookmarkStart w:id="0" w:name="Doktyp"/>
          <w:bookmarkEnd w:id="0"/>
          <w:r>
            <w:rPr>
              <w:snapToGrid w:val="0"/>
            </w:rPr>
            <w:t>REMISSUTKAST</w:t>
          </w:r>
        </w:p>
      </w:tc>
      <w:tc>
        <w:tcPr>
          <w:tcW w:w="1036" w:type="dxa"/>
          <w:vAlign w:val="bottom"/>
        </w:tcPr>
        <w:p w14:paraId="668061BD" w14:textId="6A9694B1" w:rsidR="002E51EC" w:rsidRPr="00931EAB" w:rsidRDefault="002E51EC" w:rsidP="00A760C6">
          <w:pPr>
            <w:pStyle w:val="Sidnumrering"/>
          </w:pPr>
          <w:r w:rsidRPr="00931EAB">
            <w:fldChar w:fldCharType="begin"/>
          </w:r>
          <w:r w:rsidRPr="00931EAB">
            <w:instrText xml:space="preserve"> PAGE </w:instrText>
          </w:r>
          <w:r w:rsidRPr="00931EAB">
            <w:fldChar w:fldCharType="separate"/>
          </w:r>
          <w:r w:rsidR="00480C85">
            <w:rPr>
              <w:noProof/>
            </w:rPr>
            <w:t>25</w:t>
          </w:r>
          <w:r w:rsidRPr="00931EAB">
            <w:fldChar w:fldCharType="end"/>
          </w:r>
          <w:r w:rsidRPr="00931EAB">
            <w:t xml:space="preserve"> (</w:t>
          </w:r>
          <w:r>
            <w:fldChar w:fldCharType="begin"/>
          </w:r>
          <w:r>
            <w:instrText xml:space="preserve"> NUMPAGES </w:instrText>
          </w:r>
          <w:r>
            <w:fldChar w:fldCharType="separate"/>
          </w:r>
          <w:r w:rsidR="00480C85">
            <w:rPr>
              <w:noProof/>
            </w:rPr>
            <w:t>29</w:t>
          </w:r>
          <w:r>
            <w:rPr>
              <w:noProof/>
            </w:rPr>
            <w:fldChar w:fldCharType="end"/>
          </w:r>
          <w:r w:rsidRPr="00931EAB">
            <w:t>)</w:t>
          </w:r>
        </w:p>
      </w:tc>
    </w:tr>
    <w:tr w:rsidR="002E51EC" w14:paraId="25D75690" w14:textId="77777777" w:rsidTr="00A760C6">
      <w:trPr>
        <w:cantSplit/>
        <w:trHeight w:hRule="exact" w:val="482"/>
      </w:trPr>
      <w:tc>
        <w:tcPr>
          <w:tcW w:w="5320" w:type="dxa"/>
        </w:tcPr>
        <w:p w14:paraId="37E09B58" w14:textId="77777777" w:rsidR="002E51EC" w:rsidRDefault="002E51EC" w:rsidP="00A760C6">
          <w:pPr>
            <w:rPr>
              <w:rFonts w:ascii="Arial" w:hAnsi="Arial"/>
              <w:snapToGrid w:val="0"/>
            </w:rPr>
          </w:pPr>
        </w:p>
      </w:tc>
      <w:tc>
        <w:tcPr>
          <w:tcW w:w="1934" w:type="dxa"/>
        </w:tcPr>
        <w:p w14:paraId="3EB45211" w14:textId="77777777" w:rsidR="002E51EC" w:rsidRDefault="002E51EC" w:rsidP="00A760C6">
          <w:pPr>
            <w:pStyle w:val="Ledtext"/>
          </w:pPr>
          <w:r>
            <w:t>Datum</w:t>
          </w:r>
        </w:p>
        <w:p w14:paraId="26BD1A83" w14:textId="4D002D2F" w:rsidR="002E51EC" w:rsidRDefault="002E51EC" w:rsidP="00480C85">
          <w:pPr>
            <w:pStyle w:val="Flttext"/>
          </w:pPr>
          <w:bookmarkStart w:id="1" w:name="Datum"/>
          <w:bookmarkEnd w:id="1"/>
          <w:r>
            <w:t>2021-0</w:t>
          </w:r>
          <w:r w:rsidR="00480C85">
            <w:t>2</w:t>
          </w:r>
          <w:r>
            <w:t>-</w:t>
          </w:r>
          <w:r w:rsidR="00480C85">
            <w:t>10</w:t>
          </w:r>
        </w:p>
      </w:tc>
      <w:tc>
        <w:tcPr>
          <w:tcW w:w="2013" w:type="dxa"/>
        </w:tcPr>
        <w:p w14:paraId="3FAEE03E" w14:textId="77777777" w:rsidR="002E51EC" w:rsidRDefault="002E51EC" w:rsidP="00A760C6">
          <w:pPr>
            <w:pStyle w:val="Ledtext"/>
          </w:pPr>
          <w:proofErr w:type="spellStart"/>
          <w:r>
            <w:t>Diarienr</w:t>
          </w:r>
          <w:proofErr w:type="spellEnd"/>
        </w:p>
        <w:p w14:paraId="32DD7D65" w14:textId="77777777" w:rsidR="002E51EC" w:rsidRPr="008D63A9" w:rsidRDefault="002E51EC" w:rsidP="00A760C6">
          <w:pPr>
            <w:pStyle w:val="Flttext"/>
          </w:pPr>
          <w:bookmarkStart w:id="2" w:name="Diarienr"/>
          <w:bookmarkEnd w:id="2"/>
        </w:p>
      </w:tc>
      <w:tc>
        <w:tcPr>
          <w:tcW w:w="1036" w:type="dxa"/>
        </w:tcPr>
        <w:p w14:paraId="7620617B" w14:textId="77777777" w:rsidR="002E51EC" w:rsidRDefault="002E51EC" w:rsidP="00A760C6">
          <w:pPr>
            <w:pStyle w:val="Ledtext"/>
          </w:pPr>
          <w:r>
            <w:t>Utgåva</w:t>
          </w:r>
        </w:p>
        <w:p w14:paraId="5348AB10" w14:textId="77777777" w:rsidR="002E51EC" w:rsidRPr="008D63A9" w:rsidRDefault="002E51EC" w:rsidP="00FA0CF8">
          <w:pPr>
            <w:pStyle w:val="Flttext"/>
          </w:pPr>
          <w:r>
            <w:t>0.1</w:t>
          </w:r>
        </w:p>
      </w:tc>
    </w:tr>
  </w:tbl>
  <w:p w14:paraId="51208C4E" w14:textId="77777777" w:rsidR="002E51EC" w:rsidRPr="003C3B86" w:rsidRDefault="002E51EC" w:rsidP="00E512CD">
    <w:pPr>
      <w:pStyle w:val="Sma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B6F6" w14:textId="77777777" w:rsidR="002E51EC" w:rsidRDefault="002E51EC">
    <w:pPr>
      <w:pStyle w:val="Sidhuvud"/>
    </w:pPr>
    <w:r>
      <w:rPr>
        <w:noProof/>
      </w:rPr>
      <w:pict w14:anchorId="52B38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10412" o:spid="_x0000_s2049" type="#_x0000_t136" style="position:absolute;left:0;text-align:left;margin-left:0;margin-top:0;width:450.25pt;height:69.25pt;rotation:315;z-index:-251658240;mso-position-horizontal:center;mso-position-horizontal-relative:margin;mso-position-vertical:center;mso-position-vertical-relative:margin" o:allowincell="f" fillcolor="#eaeaea" stroked="f">
          <v:textpath style="font-family:&quot;Georgia&quot;;font-size:1pt" string="Remiss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6585128"/>
    <w:lvl w:ilvl="0">
      <w:start w:val="1"/>
      <w:numFmt w:val="decimal"/>
      <w:pStyle w:val="Numreradlista"/>
      <w:lvlText w:val="%1."/>
      <w:lvlJc w:val="left"/>
      <w:pPr>
        <w:tabs>
          <w:tab w:val="num" w:pos="284"/>
        </w:tabs>
        <w:ind w:left="284" w:hanging="284"/>
      </w:pPr>
      <w:rPr>
        <w:rFonts w:hint="default"/>
      </w:rPr>
    </w:lvl>
  </w:abstractNum>
  <w:abstractNum w:abstractNumId="1" w15:restartNumberingAfterBreak="0">
    <w:nsid w:val="FFFFFF89"/>
    <w:multiLevelType w:val="singleLevel"/>
    <w:tmpl w:val="897E0680"/>
    <w:lvl w:ilvl="0">
      <w:start w:val="1"/>
      <w:numFmt w:val="bullet"/>
      <w:pStyle w:val="Punktlista"/>
      <w:lvlText w:val=""/>
      <w:lvlJc w:val="left"/>
      <w:pPr>
        <w:tabs>
          <w:tab w:val="num" w:pos="284"/>
        </w:tabs>
        <w:ind w:left="284" w:hanging="284"/>
      </w:pPr>
      <w:rPr>
        <w:rFonts w:ascii="Symbol" w:hAnsi="Symbol" w:hint="default"/>
      </w:rPr>
    </w:lvl>
  </w:abstractNum>
  <w:abstractNum w:abstractNumId="2" w15:restartNumberingAfterBreak="0">
    <w:nsid w:val="0010080B"/>
    <w:multiLevelType w:val="hybridMultilevel"/>
    <w:tmpl w:val="F0E62E8E"/>
    <w:lvl w:ilvl="0" w:tplc="6B14746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D6138A"/>
    <w:multiLevelType w:val="hybridMultilevel"/>
    <w:tmpl w:val="B468ABB2"/>
    <w:lvl w:ilvl="0" w:tplc="B8E249A2">
      <w:start w:val="9"/>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047D4FDA"/>
    <w:multiLevelType w:val="hybridMultilevel"/>
    <w:tmpl w:val="110C59A2"/>
    <w:lvl w:ilvl="0" w:tplc="459619B8">
      <w:start w:val="1"/>
      <w:numFmt w:val="bullet"/>
      <w:lvlText w:val="-"/>
      <w:lvlJc w:val="left"/>
      <w:pPr>
        <w:tabs>
          <w:tab w:val="num" w:pos="720"/>
        </w:tabs>
        <w:ind w:left="720" w:hanging="360"/>
      </w:pPr>
      <w:rPr>
        <w:rFonts w:ascii="Times New Roman" w:hAnsi="Times New Roman" w:hint="default"/>
      </w:rPr>
    </w:lvl>
    <w:lvl w:ilvl="1" w:tplc="17847CC4" w:tentative="1">
      <w:start w:val="1"/>
      <w:numFmt w:val="bullet"/>
      <w:lvlText w:val="-"/>
      <w:lvlJc w:val="left"/>
      <w:pPr>
        <w:tabs>
          <w:tab w:val="num" w:pos="1440"/>
        </w:tabs>
        <w:ind w:left="1440" w:hanging="360"/>
      </w:pPr>
      <w:rPr>
        <w:rFonts w:ascii="Times New Roman" w:hAnsi="Times New Roman" w:hint="default"/>
      </w:rPr>
    </w:lvl>
    <w:lvl w:ilvl="2" w:tplc="108AEAC4" w:tentative="1">
      <w:start w:val="1"/>
      <w:numFmt w:val="bullet"/>
      <w:lvlText w:val="-"/>
      <w:lvlJc w:val="left"/>
      <w:pPr>
        <w:tabs>
          <w:tab w:val="num" w:pos="2160"/>
        </w:tabs>
        <w:ind w:left="2160" w:hanging="360"/>
      </w:pPr>
      <w:rPr>
        <w:rFonts w:ascii="Times New Roman" w:hAnsi="Times New Roman" w:hint="default"/>
      </w:rPr>
    </w:lvl>
    <w:lvl w:ilvl="3" w:tplc="2A322EBC" w:tentative="1">
      <w:start w:val="1"/>
      <w:numFmt w:val="bullet"/>
      <w:lvlText w:val="-"/>
      <w:lvlJc w:val="left"/>
      <w:pPr>
        <w:tabs>
          <w:tab w:val="num" w:pos="2880"/>
        </w:tabs>
        <w:ind w:left="2880" w:hanging="360"/>
      </w:pPr>
      <w:rPr>
        <w:rFonts w:ascii="Times New Roman" w:hAnsi="Times New Roman" w:hint="default"/>
      </w:rPr>
    </w:lvl>
    <w:lvl w:ilvl="4" w:tplc="72D6DEA8" w:tentative="1">
      <w:start w:val="1"/>
      <w:numFmt w:val="bullet"/>
      <w:lvlText w:val="-"/>
      <w:lvlJc w:val="left"/>
      <w:pPr>
        <w:tabs>
          <w:tab w:val="num" w:pos="3600"/>
        </w:tabs>
        <w:ind w:left="3600" w:hanging="360"/>
      </w:pPr>
      <w:rPr>
        <w:rFonts w:ascii="Times New Roman" w:hAnsi="Times New Roman" w:hint="default"/>
      </w:rPr>
    </w:lvl>
    <w:lvl w:ilvl="5" w:tplc="847CFAE4" w:tentative="1">
      <w:start w:val="1"/>
      <w:numFmt w:val="bullet"/>
      <w:lvlText w:val="-"/>
      <w:lvlJc w:val="left"/>
      <w:pPr>
        <w:tabs>
          <w:tab w:val="num" w:pos="4320"/>
        </w:tabs>
        <w:ind w:left="4320" w:hanging="360"/>
      </w:pPr>
      <w:rPr>
        <w:rFonts w:ascii="Times New Roman" w:hAnsi="Times New Roman" w:hint="default"/>
      </w:rPr>
    </w:lvl>
    <w:lvl w:ilvl="6" w:tplc="9E9EBCE2" w:tentative="1">
      <w:start w:val="1"/>
      <w:numFmt w:val="bullet"/>
      <w:lvlText w:val="-"/>
      <w:lvlJc w:val="left"/>
      <w:pPr>
        <w:tabs>
          <w:tab w:val="num" w:pos="5040"/>
        </w:tabs>
        <w:ind w:left="5040" w:hanging="360"/>
      </w:pPr>
      <w:rPr>
        <w:rFonts w:ascii="Times New Roman" w:hAnsi="Times New Roman" w:hint="default"/>
      </w:rPr>
    </w:lvl>
    <w:lvl w:ilvl="7" w:tplc="D504A468" w:tentative="1">
      <w:start w:val="1"/>
      <w:numFmt w:val="bullet"/>
      <w:lvlText w:val="-"/>
      <w:lvlJc w:val="left"/>
      <w:pPr>
        <w:tabs>
          <w:tab w:val="num" w:pos="5760"/>
        </w:tabs>
        <w:ind w:left="5760" w:hanging="360"/>
      </w:pPr>
      <w:rPr>
        <w:rFonts w:ascii="Times New Roman" w:hAnsi="Times New Roman" w:hint="default"/>
      </w:rPr>
    </w:lvl>
    <w:lvl w:ilvl="8" w:tplc="C396DA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0B313E"/>
    <w:multiLevelType w:val="hybridMultilevel"/>
    <w:tmpl w:val="87E49E6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551170A"/>
    <w:multiLevelType w:val="hybridMultilevel"/>
    <w:tmpl w:val="84AA1364"/>
    <w:lvl w:ilvl="0" w:tplc="CCDCB4C6">
      <w:start w:val="2015"/>
      <w:numFmt w:val="bullet"/>
      <w:lvlText w:val="-"/>
      <w:lvlJc w:val="left"/>
      <w:pPr>
        <w:ind w:left="720" w:hanging="360"/>
      </w:pPr>
      <w:rPr>
        <w:rFonts w:ascii="Georgia" w:eastAsia="Times New Roman" w:hAnsi="Georgi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0D27A6"/>
    <w:multiLevelType w:val="hybridMultilevel"/>
    <w:tmpl w:val="8EBE753A"/>
    <w:lvl w:ilvl="0" w:tplc="80000466">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A59310C"/>
    <w:multiLevelType w:val="hybridMultilevel"/>
    <w:tmpl w:val="9F20290E"/>
    <w:lvl w:ilvl="0" w:tplc="D7D6A9DE">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AA50204"/>
    <w:multiLevelType w:val="hybridMultilevel"/>
    <w:tmpl w:val="C8087680"/>
    <w:lvl w:ilvl="0" w:tplc="C4D4A036">
      <w:start w:val="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AC55F8D"/>
    <w:multiLevelType w:val="hybridMultilevel"/>
    <w:tmpl w:val="E506DBF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065BAB"/>
    <w:multiLevelType w:val="hybridMultilevel"/>
    <w:tmpl w:val="D3805BF0"/>
    <w:lvl w:ilvl="0" w:tplc="3B020E26">
      <w:start w:val="1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E25504C"/>
    <w:multiLevelType w:val="hybridMultilevel"/>
    <w:tmpl w:val="947E0CA6"/>
    <w:lvl w:ilvl="0" w:tplc="AF0CF20A">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1330C00"/>
    <w:multiLevelType w:val="hybridMultilevel"/>
    <w:tmpl w:val="A18623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12E764EE"/>
    <w:multiLevelType w:val="hybridMultilevel"/>
    <w:tmpl w:val="9E70C6E0"/>
    <w:lvl w:ilvl="0" w:tplc="21DC3EE8">
      <w:start w:val="1"/>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570B5F"/>
    <w:multiLevelType w:val="hybridMultilevel"/>
    <w:tmpl w:val="FEA48E1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82575A9"/>
    <w:multiLevelType w:val="hybridMultilevel"/>
    <w:tmpl w:val="0CAEC5AA"/>
    <w:lvl w:ilvl="0" w:tplc="D9402EEA">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91E425A"/>
    <w:multiLevelType w:val="hybridMultilevel"/>
    <w:tmpl w:val="7E68E258"/>
    <w:lvl w:ilvl="0" w:tplc="CED8E720">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196851FF"/>
    <w:multiLevelType w:val="hybridMultilevel"/>
    <w:tmpl w:val="D988D91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A2410EF"/>
    <w:multiLevelType w:val="hybridMultilevel"/>
    <w:tmpl w:val="801074B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A2A039F"/>
    <w:multiLevelType w:val="multilevel"/>
    <w:tmpl w:val="D78CBCC2"/>
    <w:lvl w:ilvl="0">
      <w:start w:val="1"/>
      <w:numFmt w:val="bullet"/>
      <w:pStyle w:val="Punktlista1"/>
      <w:lvlText w:val=""/>
      <w:lvlJc w:val="left"/>
      <w:pPr>
        <w:tabs>
          <w:tab w:val="num" w:pos="1661"/>
        </w:tabs>
        <w:ind w:left="1661" w:hanging="357"/>
      </w:pPr>
      <w:rPr>
        <w:rFonts w:ascii="Symbol" w:hAnsi="Symbol" w:hint="default"/>
      </w:rPr>
    </w:lvl>
    <w:lvl w:ilvl="1">
      <w:start w:val="1"/>
      <w:numFmt w:val="bullet"/>
      <w:pStyle w:val="Punktlista2"/>
      <w:lvlText w:val=""/>
      <w:lvlJc w:val="left"/>
      <w:pPr>
        <w:tabs>
          <w:tab w:val="num" w:pos="2018"/>
        </w:tabs>
        <w:ind w:left="2018" w:hanging="357"/>
      </w:pPr>
      <w:rPr>
        <w:rFonts w:ascii="Symbol" w:hAnsi="Symbol" w:hint="default"/>
      </w:rPr>
    </w:lvl>
    <w:lvl w:ilvl="2">
      <w:start w:val="1"/>
      <w:numFmt w:val="bullet"/>
      <w:pStyle w:val="Punktlista3"/>
      <w:lvlText w:val=""/>
      <w:lvlJc w:val="left"/>
      <w:pPr>
        <w:tabs>
          <w:tab w:val="num" w:pos="2375"/>
        </w:tabs>
        <w:ind w:left="2375" w:hanging="357"/>
      </w:pPr>
      <w:rPr>
        <w:rFonts w:ascii="Symbol" w:hAnsi="Symbol" w:hint="default"/>
      </w:rPr>
    </w:lvl>
    <w:lvl w:ilvl="3">
      <w:start w:val="1"/>
      <w:numFmt w:val="bullet"/>
      <w:lvlText w:val=""/>
      <w:lvlJc w:val="left"/>
      <w:pPr>
        <w:tabs>
          <w:tab w:val="num" w:pos="2733"/>
        </w:tabs>
        <w:ind w:left="2733" w:hanging="358"/>
      </w:pPr>
      <w:rPr>
        <w:rFonts w:ascii="Symbol" w:hAnsi="Symbol" w:hint="default"/>
      </w:rPr>
    </w:lvl>
    <w:lvl w:ilvl="4">
      <w:start w:val="1"/>
      <w:numFmt w:val="bullet"/>
      <w:lvlText w:val=""/>
      <w:lvlJc w:val="left"/>
      <w:pPr>
        <w:tabs>
          <w:tab w:val="num" w:pos="3090"/>
        </w:tabs>
        <w:ind w:left="3090" w:hanging="357"/>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BD26C67"/>
    <w:multiLevelType w:val="hybridMultilevel"/>
    <w:tmpl w:val="FC8E83E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C2A1CE3"/>
    <w:multiLevelType w:val="hybridMultilevel"/>
    <w:tmpl w:val="B844AB52"/>
    <w:lvl w:ilvl="0" w:tplc="97DA23FE">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1C981BD7"/>
    <w:multiLevelType w:val="hybridMultilevel"/>
    <w:tmpl w:val="55667A52"/>
    <w:lvl w:ilvl="0" w:tplc="8C6EF1A0">
      <w:start w:val="1"/>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1CA11536"/>
    <w:multiLevelType w:val="hybridMultilevel"/>
    <w:tmpl w:val="25488CDE"/>
    <w:lvl w:ilvl="0" w:tplc="041D0003">
      <w:start w:val="1"/>
      <w:numFmt w:val="bullet"/>
      <w:lvlText w:val="o"/>
      <w:lvlJc w:val="left"/>
      <w:pPr>
        <w:ind w:left="720" w:hanging="360"/>
      </w:pPr>
      <w:rPr>
        <w:rFonts w:ascii="Courier New" w:hAnsi="Courier New" w:cs="Courier New"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1D5572A2"/>
    <w:multiLevelType w:val="hybridMultilevel"/>
    <w:tmpl w:val="2124E9B0"/>
    <w:lvl w:ilvl="0" w:tplc="B0D67D6C">
      <w:start w:val="1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1EEF77EC"/>
    <w:multiLevelType w:val="hybridMultilevel"/>
    <w:tmpl w:val="EC8EB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1F6407DF"/>
    <w:multiLevelType w:val="hybridMultilevel"/>
    <w:tmpl w:val="818C3C10"/>
    <w:lvl w:ilvl="0" w:tplc="CCDCB4C6">
      <w:start w:val="2015"/>
      <w:numFmt w:val="bullet"/>
      <w:lvlText w:val="-"/>
      <w:lvlJc w:val="left"/>
      <w:pPr>
        <w:ind w:left="720" w:hanging="360"/>
      </w:pPr>
      <w:rPr>
        <w:rFonts w:ascii="Georgia" w:eastAsia="Times New Roman" w:hAnsi="Georgi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14B637B"/>
    <w:multiLevelType w:val="hybridMultilevel"/>
    <w:tmpl w:val="5492E4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23524AC5"/>
    <w:multiLevelType w:val="hybridMultilevel"/>
    <w:tmpl w:val="A72CDB9C"/>
    <w:lvl w:ilvl="0" w:tplc="24041248">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3D7298B"/>
    <w:multiLevelType w:val="hybridMultilevel"/>
    <w:tmpl w:val="57FCBF0C"/>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64611C0"/>
    <w:multiLevelType w:val="hybridMultilevel"/>
    <w:tmpl w:val="4DEA7082"/>
    <w:lvl w:ilvl="0" w:tplc="459619B8">
      <w:start w:val="1"/>
      <w:numFmt w:val="bullet"/>
      <w:lvlText w:val="-"/>
      <w:lvlJc w:val="left"/>
      <w:pPr>
        <w:tabs>
          <w:tab w:val="num" w:pos="720"/>
        </w:tabs>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28E3398C"/>
    <w:multiLevelType w:val="hybridMultilevel"/>
    <w:tmpl w:val="07A8F48C"/>
    <w:lvl w:ilvl="0" w:tplc="1A0A37A4">
      <w:start w:val="1"/>
      <w:numFmt w:val="bullet"/>
      <w:lvlText w:val="•"/>
      <w:lvlJc w:val="left"/>
      <w:pPr>
        <w:tabs>
          <w:tab w:val="num" w:pos="720"/>
        </w:tabs>
        <w:ind w:left="720" w:hanging="360"/>
      </w:pPr>
      <w:rPr>
        <w:rFonts w:ascii="Arial" w:hAnsi="Arial" w:hint="default"/>
      </w:rPr>
    </w:lvl>
    <w:lvl w:ilvl="1" w:tplc="E4B4516E" w:tentative="1">
      <w:start w:val="1"/>
      <w:numFmt w:val="bullet"/>
      <w:lvlText w:val="•"/>
      <w:lvlJc w:val="left"/>
      <w:pPr>
        <w:tabs>
          <w:tab w:val="num" w:pos="1440"/>
        </w:tabs>
        <w:ind w:left="1440" w:hanging="360"/>
      </w:pPr>
      <w:rPr>
        <w:rFonts w:ascii="Arial" w:hAnsi="Arial" w:hint="default"/>
      </w:rPr>
    </w:lvl>
    <w:lvl w:ilvl="2" w:tplc="628E4314" w:tentative="1">
      <w:start w:val="1"/>
      <w:numFmt w:val="bullet"/>
      <w:lvlText w:val="•"/>
      <w:lvlJc w:val="left"/>
      <w:pPr>
        <w:tabs>
          <w:tab w:val="num" w:pos="2160"/>
        </w:tabs>
        <w:ind w:left="2160" w:hanging="360"/>
      </w:pPr>
      <w:rPr>
        <w:rFonts w:ascii="Arial" w:hAnsi="Arial" w:hint="default"/>
      </w:rPr>
    </w:lvl>
    <w:lvl w:ilvl="3" w:tplc="A08EF282" w:tentative="1">
      <w:start w:val="1"/>
      <w:numFmt w:val="bullet"/>
      <w:lvlText w:val="•"/>
      <w:lvlJc w:val="left"/>
      <w:pPr>
        <w:tabs>
          <w:tab w:val="num" w:pos="2880"/>
        </w:tabs>
        <w:ind w:left="2880" w:hanging="360"/>
      </w:pPr>
      <w:rPr>
        <w:rFonts w:ascii="Arial" w:hAnsi="Arial" w:hint="default"/>
      </w:rPr>
    </w:lvl>
    <w:lvl w:ilvl="4" w:tplc="E6B8D658" w:tentative="1">
      <w:start w:val="1"/>
      <w:numFmt w:val="bullet"/>
      <w:lvlText w:val="•"/>
      <w:lvlJc w:val="left"/>
      <w:pPr>
        <w:tabs>
          <w:tab w:val="num" w:pos="3600"/>
        </w:tabs>
        <w:ind w:left="3600" w:hanging="360"/>
      </w:pPr>
      <w:rPr>
        <w:rFonts w:ascii="Arial" w:hAnsi="Arial" w:hint="default"/>
      </w:rPr>
    </w:lvl>
    <w:lvl w:ilvl="5" w:tplc="68889A60" w:tentative="1">
      <w:start w:val="1"/>
      <w:numFmt w:val="bullet"/>
      <w:lvlText w:val="•"/>
      <w:lvlJc w:val="left"/>
      <w:pPr>
        <w:tabs>
          <w:tab w:val="num" w:pos="4320"/>
        </w:tabs>
        <w:ind w:left="4320" w:hanging="360"/>
      </w:pPr>
      <w:rPr>
        <w:rFonts w:ascii="Arial" w:hAnsi="Arial" w:hint="default"/>
      </w:rPr>
    </w:lvl>
    <w:lvl w:ilvl="6" w:tplc="F5C0635A" w:tentative="1">
      <w:start w:val="1"/>
      <w:numFmt w:val="bullet"/>
      <w:lvlText w:val="•"/>
      <w:lvlJc w:val="left"/>
      <w:pPr>
        <w:tabs>
          <w:tab w:val="num" w:pos="5040"/>
        </w:tabs>
        <w:ind w:left="5040" w:hanging="360"/>
      </w:pPr>
      <w:rPr>
        <w:rFonts w:ascii="Arial" w:hAnsi="Arial" w:hint="default"/>
      </w:rPr>
    </w:lvl>
    <w:lvl w:ilvl="7" w:tplc="0A00093C" w:tentative="1">
      <w:start w:val="1"/>
      <w:numFmt w:val="bullet"/>
      <w:lvlText w:val="•"/>
      <w:lvlJc w:val="left"/>
      <w:pPr>
        <w:tabs>
          <w:tab w:val="num" w:pos="5760"/>
        </w:tabs>
        <w:ind w:left="5760" w:hanging="360"/>
      </w:pPr>
      <w:rPr>
        <w:rFonts w:ascii="Arial" w:hAnsi="Arial" w:hint="default"/>
      </w:rPr>
    </w:lvl>
    <w:lvl w:ilvl="8" w:tplc="93D829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A1D4667"/>
    <w:multiLevelType w:val="hybridMultilevel"/>
    <w:tmpl w:val="4F5E353C"/>
    <w:lvl w:ilvl="0" w:tplc="F1E68EDE">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2B3A05A3"/>
    <w:multiLevelType w:val="hybridMultilevel"/>
    <w:tmpl w:val="F5684D8C"/>
    <w:lvl w:ilvl="0" w:tplc="459619B8">
      <w:start w:val="1"/>
      <w:numFmt w:val="bullet"/>
      <w:lvlText w:val="-"/>
      <w:lvlJc w:val="left"/>
      <w:pPr>
        <w:tabs>
          <w:tab w:val="num" w:pos="720"/>
        </w:tabs>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2B5B75AF"/>
    <w:multiLevelType w:val="hybridMultilevel"/>
    <w:tmpl w:val="2EC6C1A8"/>
    <w:lvl w:ilvl="0" w:tplc="33A0E654">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2C074AF6"/>
    <w:multiLevelType w:val="hybridMultilevel"/>
    <w:tmpl w:val="AE3CABE2"/>
    <w:lvl w:ilvl="0" w:tplc="CE760260">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2E6B0D4E"/>
    <w:multiLevelType w:val="hybridMultilevel"/>
    <w:tmpl w:val="33A80944"/>
    <w:lvl w:ilvl="0" w:tplc="BE9E5976">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2EE968FB"/>
    <w:multiLevelType w:val="hybridMultilevel"/>
    <w:tmpl w:val="5DA87F14"/>
    <w:lvl w:ilvl="0" w:tplc="041D0003">
      <w:start w:val="1"/>
      <w:numFmt w:val="bullet"/>
      <w:lvlText w:val="o"/>
      <w:lvlJc w:val="left"/>
      <w:pPr>
        <w:ind w:left="720" w:hanging="360"/>
      </w:pPr>
      <w:rPr>
        <w:rFonts w:ascii="Courier New" w:hAnsi="Courier New" w:cs="Courier New"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2FF45F5A"/>
    <w:multiLevelType w:val="hybridMultilevel"/>
    <w:tmpl w:val="A3323D64"/>
    <w:lvl w:ilvl="0" w:tplc="3F180262">
      <w:start w:val="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306B2A9A"/>
    <w:multiLevelType w:val="hybridMultilevel"/>
    <w:tmpl w:val="219CB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2AF19D0"/>
    <w:multiLevelType w:val="hybridMultilevel"/>
    <w:tmpl w:val="B93CE55C"/>
    <w:lvl w:ilvl="0" w:tplc="2892B69A">
      <w:start w:val="1"/>
      <w:numFmt w:val="decimal"/>
      <w:lvlText w:val="%1."/>
      <w:lvlJc w:val="left"/>
      <w:pPr>
        <w:ind w:left="720" w:hanging="360"/>
      </w:pPr>
      <w:rPr>
        <w:rFonts w:hint="default"/>
        <w:i/>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346A0894"/>
    <w:multiLevelType w:val="hybridMultilevel"/>
    <w:tmpl w:val="77E050BE"/>
    <w:lvl w:ilvl="0" w:tplc="0EBC9598">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35ED79A8"/>
    <w:multiLevelType w:val="multilevel"/>
    <w:tmpl w:val="BCC0B526"/>
    <w:lvl w:ilvl="0">
      <w:start w:val="1"/>
      <w:numFmt w:val="decimal"/>
      <w:pStyle w:val="Rubrik1"/>
      <w:lvlText w:val="%1."/>
      <w:lvlJc w:val="left"/>
      <w:pPr>
        <w:tabs>
          <w:tab w:val="num" w:pos="737"/>
        </w:tabs>
        <w:ind w:left="737" w:hanging="737"/>
      </w:pPr>
      <w:rPr>
        <w:rFonts w:hint="default"/>
      </w:rPr>
    </w:lvl>
    <w:lvl w:ilvl="1">
      <w:start w:val="1"/>
      <w:numFmt w:val="decimal"/>
      <w:pStyle w:val="Rubrik2"/>
      <w:lvlText w:val="%1.%2"/>
      <w:lvlJc w:val="left"/>
      <w:pPr>
        <w:tabs>
          <w:tab w:val="num" w:pos="737"/>
        </w:tabs>
        <w:ind w:left="737" w:hanging="737"/>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7FE484A"/>
    <w:multiLevelType w:val="hybridMultilevel"/>
    <w:tmpl w:val="8CF4F7FE"/>
    <w:lvl w:ilvl="0" w:tplc="CA58301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39F77C1C"/>
    <w:multiLevelType w:val="hybridMultilevel"/>
    <w:tmpl w:val="FCF036D4"/>
    <w:lvl w:ilvl="0" w:tplc="929E5C4A">
      <w:start w:val="201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3B2A70B9"/>
    <w:multiLevelType w:val="hybridMultilevel"/>
    <w:tmpl w:val="5CB05190"/>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C4A2778"/>
    <w:multiLevelType w:val="hybridMultilevel"/>
    <w:tmpl w:val="57FCBF0C"/>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3DD675C7"/>
    <w:multiLevelType w:val="hybridMultilevel"/>
    <w:tmpl w:val="2B8277D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3EA16D46"/>
    <w:multiLevelType w:val="hybridMultilevel"/>
    <w:tmpl w:val="CC1E578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40A23CE6"/>
    <w:multiLevelType w:val="hybridMultilevel"/>
    <w:tmpl w:val="EC484848"/>
    <w:lvl w:ilvl="0" w:tplc="F1E68EDE">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41674DF5"/>
    <w:multiLevelType w:val="hybridMultilevel"/>
    <w:tmpl w:val="448C2414"/>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EA48F4"/>
    <w:multiLevelType w:val="hybridMultilevel"/>
    <w:tmpl w:val="A590F91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4CCD18E0"/>
    <w:multiLevelType w:val="hybridMultilevel"/>
    <w:tmpl w:val="115EB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509F39F0"/>
    <w:multiLevelType w:val="hybridMultilevel"/>
    <w:tmpl w:val="B5B8DB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13C230F"/>
    <w:multiLevelType w:val="hybridMultilevel"/>
    <w:tmpl w:val="5B30AE9A"/>
    <w:lvl w:ilvl="0" w:tplc="F1E68EDE">
      <w:start w:val="3"/>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1AF5C49"/>
    <w:multiLevelType w:val="hybridMultilevel"/>
    <w:tmpl w:val="6CFEA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5AFE189F"/>
    <w:multiLevelType w:val="hybridMultilevel"/>
    <w:tmpl w:val="0CAEC5AA"/>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5916ED"/>
    <w:multiLevelType w:val="hybridMultilevel"/>
    <w:tmpl w:val="4886D508"/>
    <w:lvl w:ilvl="0" w:tplc="E02C7428">
      <w:start w:val="1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5CD36206"/>
    <w:multiLevelType w:val="hybridMultilevel"/>
    <w:tmpl w:val="4C5E41F4"/>
    <w:lvl w:ilvl="0" w:tplc="33A0E654">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5D722243"/>
    <w:multiLevelType w:val="hybridMultilevel"/>
    <w:tmpl w:val="15EC5ED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5E181AEF"/>
    <w:multiLevelType w:val="hybridMultilevel"/>
    <w:tmpl w:val="118C849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5E913B8A"/>
    <w:multiLevelType w:val="hybridMultilevel"/>
    <w:tmpl w:val="DF88DDD4"/>
    <w:lvl w:ilvl="0" w:tplc="1A0A37A4">
      <w:start w:val="1"/>
      <w:numFmt w:val="bullet"/>
      <w:lvlText w:val="•"/>
      <w:lvlJc w:val="left"/>
      <w:pPr>
        <w:tabs>
          <w:tab w:val="num" w:pos="720"/>
        </w:tabs>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5ECE6117"/>
    <w:multiLevelType w:val="hybridMultilevel"/>
    <w:tmpl w:val="E9B44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1473E21"/>
    <w:multiLevelType w:val="hybridMultilevel"/>
    <w:tmpl w:val="81AE7D9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17637BF"/>
    <w:multiLevelType w:val="hybridMultilevel"/>
    <w:tmpl w:val="B79C682E"/>
    <w:lvl w:ilvl="0" w:tplc="DC1000D2">
      <w:start w:val="1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7" w15:restartNumberingAfterBreak="0">
    <w:nsid w:val="63D94A81"/>
    <w:multiLevelType w:val="hybridMultilevel"/>
    <w:tmpl w:val="2EA022B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4FF450D"/>
    <w:multiLevelType w:val="hybridMultilevel"/>
    <w:tmpl w:val="CB368B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67737CB1"/>
    <w:multiLevelType w:val="hybridMultilevel"/>
    <w:tmpl w:val="D1006A50"/>
    <w:lvl w:ilvl="0" w:tplc="B8E249A2">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684B62A7"/>
    <w:multiLevelType w:val="hybridMultilevel"/>
    <w:tmpl w:val="EF844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6A9E6F41"/>
    <w:multiLevelType w:val="hybridMultilevel"/>
    <w:tmpl w:val="57FCBF0C"/>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6BEA413E"/>
    <w:multiLevelType w:val="hybridMultilevel"/>
    <w:tmpl w:val="18C6DAC8"/>
    <w:lvl w:ilvl="0" w:tplc="8C6EF1A0">
      <w:start w:val="1"/>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3" w15:restartNumberingAfterBreak="0">
    <w:nsid w:val="6C652F30"/>
    <w:multiLevelType w:val="hybridMultilevel"/>
    <w:tmpl w:val="27D2E7B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6F543A50"/>
    <w:multiLevelType w:val="hybridMultilevel"/>
    <w:tmpl w:val="80B883D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0AD5F7F"/>
    <w:multiLevelType w:val="multilevel"/>
    <w:tmpl w:val="937C99A0"/>
    <w:lvl w:ilvl="0">
      <w:start w:val="1"/>
      <w:numFmt w:val="bullet"/>
      <w:lvlText w:val=""/>
      <w:lvlJc w:val="left"/>
      <w:pPr>
        <w:tabs>
          <w:tab w:val="num" w:pos="935"/>
        </w:tabs>
        <w:ind w:left="935" w:hanging="357"/>
      </w:pPr>
      <w:rPr>
        <w:rFonts w:ascii="Symbol" w:hAnsi="Symbol" w:hint="default"/>
      </w:rPr>
    </w:lvl>
    <w:lvl w:ilvl="1">
      <w:numFmt w:val="bullet"/>
      <w:lvlText w:val="-"/>
      <w:lvlJc w:val="left"/>
      <w:pPr>
        <w:tabs>
          <w:tab w:val="num" w:pos="1292"/>
        </w:tabs>
        <w:ind w:left="1292" w:hanging="357"/>
      </w:pPr>
      <w:rPr>
        <w:rFonts w:ascii="Calibri" w:eastAsiaTheme="minorHAnsi" w:hAnsi="Calibri" w:cstheme="minorBidi" w:hint="default"/>
      </w:rPr>
    </w:lvl>
    <w:lvl w:ilvl="2">
      <w:start w:val="1"/>
      <w:numFmt w:val="bullet"/>
      <w:lvlText w:val=""/>
      <w:lvlJc w:val="left"/>
      <w:pPr>
        <w:tabs>
          <w:tab w:val="num" w:pos="1649"/>
        </w:tabs>
        <w:ind w:left="1649" w:hanging="357"/>
      </w:pPr>
      <w:rPr>
        <w:rFonts w:ascii="Symbol" w:hAnsi="Symbol" w:hint="default"/>
      </w:rPr>
    </w:lvl>
    <w:lvl w:ilvl="3">
      <w:start w:val="1"/>
      <w:numFmt w:val="bullet"/>
      <w:lvlText w:val=""/>
      <w:lvlJc w:val="left"/>
      <w:pPr>
        <w:tabs>
          <w:tab w:val="num" w:pos="2007"/>
        </w:tabs>
        <w:ind w:left="2007" w:hanging="358"/>
      </w:pPr>
      <w:rPr>
        <w:rFonts w:ascii="Symbol" w:hAnsi="Symbol" w:hint="default"/>
      </w:rPr>
    </w:lvl>
    <w:lvl w:ilvl="4">
      <w:start w:val="1"/>
      <w:numFmt w:val="bullet"/>
      <w:lvlText w:val=""/>
      <w:lvlJc w:val="left"/>
      <w:pPr>
        <w:tabs>
          <w:tab w:val="num" w:pos="2364"/>
        </w:tabs>
        <w:ind w:left="2364" w:hanging="357"/>
      </w:pPr>
      <w:rPr>
        <w:rFonts w:ascii="Symbol" w:hAnsi="Symbol" w:hint="default"/>
      </w:rPr>
    </w:lvl>
    <w:lvl w:ilvl="5">
      <w:start w:val="1"/>
      <w:numFmt w:val="lowerRoman"/>
      <w:lvlText w:val="(%6)"/>
      <w:lvlJc w:val="left"/>
      <w:pPr>
        <w:tabs>
          <w:tab w:val="num" w:pos="1434"/>
        </w:tabs>
        <w:ind w:left="1434" w:hanging="360"/>
      </w:pPr>
    </w:lvl>
    <w:lvl w:ilvl="6">
      <w:start w:val="1"/>
      <w:numFmt w:val="decimal"/>
      <w:lvlText w:val="%7."/>
      <w:lvlJc w:val="left"/>
      <w:pPr>
        <w:tabs>
          <w:tab w:val="num" w:pos="1794"/>
        </w:tabs>
        <w:ind w:left="1794" w:hanging="360"/>
      </w:pPr>
    </w:lvl>
    <w:lvl w:ilvl="7">
      <w:start w:val="1"/>
      <w:numFmt w:val="lowerLetter"/>
      <w:lvlText w:val="%8."/>
      <w:lvlJc w:val="left"/>
      <w:pPr>
        <w:tabs>
          <w:tab w:val="num" w:pos="2154"/>
        </w:tabs>
        <w:ind w:left="2154" w:hanging="360"/>
      </w:pPr>
    </w:lvl>
    <w:lvl w:ilvl="8">
      <w:start w:val="1"/>
      <w:numFmt w:val="lowerRoman"/>
      <w:lvlText w:val="%9."/>
      <w:lvlJc w:val="left"/>
      <w:pPr>
        <w:tabs>
          <w:tab w:val="num" w:pos="2514"/>
        </w:tabs>
        <w:ind w:left="2514" w:hanging="360"/>
      </w:pPr>
    </w:lvl>
  </w:abstractNum>
  <w:abstractNum w:abstractNumId="76" w15:restartNumberingAfterBreak="0">
    <w:nsid w:val="70FE1236"/>
    <w:multiLevelType w:val="hybridMultilevel"/>
    <w:tmpl w:val="AC8E59A2"/>
    <w:lvl w:ilvl="0" w:tplc="24BEF70E">
      <w:start w:val="1"/>
      <w:numFmt w:val="bullet"/>
      <w:lvlText w:val="•"/>
      <w:lvlJc w:val="left"/>
      <w:pPr>
        <w:tabs>
          <w:tab w:val="num" w:pos="720"/>
        </w:tabs>
        <w:ind w:left="720" w:hanging="360"/>
      </w:pPr>
      <w:rPr>
        <w:rFonts w:ascii="Arial" w:hAnsi="Arial" w:hint="default"/>
      </w:rPr>
    </w:lvl>
    <w:lvl w:ilvl="1" w:tplc="5C72ECF2" w:tentative="1">
      <w:start w:val="1"/>
      <w:numFmt w:val="bullet"/>
      <w:lvlText w:val="•"/>
      <w:lvlJc w:val="left"/>
      <w:pPr>
        <w:tabs>
          <w:tab w:val="num" w:pos="1440"/>
        </w:tabs>
        <w:ind w:left="1440" w:hanging="360"/>
      </w:pPr>
      <w:rPr>
        <w:rFonts w:ascii="Arial" w:hAnsi="Arial" w:hint="default"/>
      </w:rPr>
    </w:lvl>
    <w:lvl w:ilvl="2" w:tplc="8EBC34A0" w:tentative="1">
      <w:start w:val="1"/>
      <w:numFmt w:val="bullet"/>
      <w:lvlText w:val="•"/>
      <w:lvlJc w:val="left"/>
      <w:pPr>
        <w:tabs>
          <w:tab w:val="num" w:pos="2160"/>
        </w:tabs>
        <w:ind w:left="2160" w:hanging="360"/>
      </w:pPr>
      <w:rPr>
        <w:rFonts w:ascii="Arial" w:hAnsi="Arial" w:hint="default"/>
      </w:rPr>
    </w:lvl>
    <w:lvl w:ilvl="3" w:tplc="4C3E4EDC" w:tentative="1">
      <w:start w:val="1"/>
      <w:numFmt w:val="bullet"/>
      <w:lvlText w:val="•"/>
      <w:lvlJc w:val="left"/>
      <w:pPr>
        <w:tabs>
          <w:tab w:val="num" w:pos="2880"/>
        </w:tabs>
        <w:ind w:left="2880" w:hanging="360"/>
      </w:pPr>
      <w:rPr>
        <w:rFonts w:ascii="Arial" w:hAnsi="Arial" w:hint="default"/>
      </w:rPr>
    </w:lvl>
    <w:lvl w:ilvl="4" w:tplc="BB5C38CA" w:tentative="1">
      <w:start w:val="1"/>
      <w:numFmt w:val="bullet"/>
      <w:lvlText w:val="•"/>
      <w:lvlJc w:val="left"/>
      <w:pPr>
        <w:tabs>
          <w:tab w:val="num" w:pos="3600"/>
        </w:tabs>
        <w:ind w:left="3600" w:hanging="360"/>
      </w:pPr>
      <w:rPr>
        <w:rFonts w:ascii="Arial" w:hAnsi="Arial" w:hint="default"/>
      </w:rPr>
    </w:lvl>
    <w:lvl w:ilvl="5" w:tplc="2748718C" w:tentative="1">
      <w:start w:val="1"/>
      <w:numFmt w:val="bullet"/>
      <w:lvlText w:val="•"/>
      <w:lvlJc w:val="left"/>
      <w:pPr>
        <w:tabs>
          <w:tab w:val="num" w:pos="4320"/>
        </w:tabs>
        <w:ind w:left="4320" w:hanging="360"/>
      </w:pPr>
      <w:rPr>
        <w:rFonts w:ascii="Arial" w:hAnsi="Arial" w:hint="default"/>
      </w:rPr>
    </w:lvl>
    <w:lvl w:ilvl="6" w:tplc="94B69704" w:tentative="1">
      <w:start w:val="1"/>
      <w:numFmt w:val="bullet"/>
      <w:lvlText w:val="•"/>
      <w:lvlJc w:val="left"/>
      <w:pPr>
        <w:tabs>
          <w:tab w:val="num" w:pos="5040"/>
        </w:tabs>
        <w:ind w:left="5040" w:hanging="360"/>
      </w:pPr>
      <w:rPr>
        <w:rFonts w:ascii="Arial" w:hAnsi="Arial" w:hint="default"/>
      </w:rPr>
    </w:lvl>
    <w:lvl w:ilvl="7" w:tplc="FDA693E4" w:tentative="1">
      <w:start w:val="1"/>
      <w:numFmt w:val="bullet"/>
      <w:lvlText w:val="•"/>
      <w:lvlJc w:val="left"/>
      <w:pPr>
        <w:tabs>
          <w:tab w:val="num" w:pos="5760"/>
        </w:tabs>
        <w:ind w:left="5760" w:hanging="360"/>
      </w:pPr>
      <w:rPr>
        <w:rFonts w:ascii="Arial" w:hAnsi="Arial" w:hint="default"/>
      </w:rPr>
    </w:lvl>
    <w:lvl w:ilvl="8" w:tplc="24DC8F2A"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14D73B9"/>
    <w:multiLevelType w:val="multilevel"/>
    <w:tmpl w:val="57524FD4"/>
    <w:numStyleLink w:val="Listformatnumreradlista"/>
  </w:abstractNum>
  <w:abstractNum w:abstractNumId="78" w15:restartNumberingAfterBreak="0">
    <w:nsid w:val="7207567D"/>
    <w:multiLevelType w:val="hybridMultilevel"/>
    <w:tmpl w:val="68AC0626"/>
    <w:lvl w:ilvl="0" w:tplc="84EE0A56">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75E51391"/>
    <w:multiLevelType w:val="hybridMultilevel"/>
    <w:tmpl w:val="8C6EF112"/>
    <w:lvl w:ilvl="0" w:tplc="AD62342C">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786B7532"/>
    <w:multiLevelType w:val="hybridMultilevel"/>
    <w:tmpl w:val="C96CE2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D782671"/>
    <w:multiLevelType w:val="hybridMultilevel"/>
    <w:tmpl w:val="5E72B1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2" w15:restartNumberingAfterBreak="0">
    <w:nsid w:val="7F453CCA"/>
    <w:multiLevelType w:val="hybridMultilevel"/>
    <w:tmpl w:val="B92A1EFA"/>
    <w:lvl w:ilvl="0" w:tplc="ABA21402">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44"/>
  </w:num>
  <w:num w:numId="4">
    <w:abstractNumId w:val="62"/>
  </w:num>
  <w:num w:numId="5">
    <w:abstractNumId w:val="46"/>
  </w:num>
  <w:num w:numId="6">
    <w:abstractNumId w:val="33"/>
  </w:num>
  <w:num w:numId="7">
    <w:abstractNumId w:val="4"/>
  </w:num>
  <w:num w:numId="8">
    <w:abstractNumId w:val="32"/>
  </w:num>
  <w:num w:numId="9">
    <w:abstractNumId w:val="35"/>
  </w:num>
  <w:num w:numId="10">
    <w:abstractNumId w:val="2"/>
  </w:num>
  <w:num w:numId="11">
    <w:abstractNumId w:val="31"/>
  </w:num>
  <w:num w:numId="12">
    <w:abstractNumId w:val="63"/>
  </w:num>
  <w:num w:numId="13">
    <w:abstractNumId w:val="76"/>
  </w:num>
  <w:num w:numId="14">
    <w:abstractNumId w:val="81"/>
  </w:num>
  <w:num w:numId="15">
    <w:abstractNumId w:val="36"/>
  </w:num>
  <w:num w:numId="16">
    <w:abstractNumId w:val="60"/>
  </w:num>
  <w:num w:numId="17">
    <w:abstractNumId w:val="55"/>
  </w:num>
  <w:num w:numId="18">
    <w:abstractNumId w:val="44"/>
  </w:num>
  <w:num w:numId="19">
    <w:abstractNumId w:val="44"/>
  </w:num>
  <w:num w:numId="20">
    <w:abstractNumId w:val="44"/>
  </w:num>
  <w:num w:numId="21">
    <w:abstractNumId w:val="44"/>
  </w:num>
  <w:num w:numId="22">
    <w:abstractNumId w:val="44"/>
  </w:num>
  <w:num w:numId="23">
    <w:abstractNumId w:val="42"/>
  </w:num>
  <w:num w:numId="24">
    <w:abstractNumId w:val="9"/>
  </w:num>
  <w:num w:numId="25">
    <w:abstractNumId w:val="40"/>
  </w:num>
  <w:num w:numId="26">
    <w:abstractNumId w:val="44"/>
  </w:num>
  <w:num w:numId="27">
    <w:abstractNumId w:val="44"/>
  </w:num>
  <w:num w:numId="28">
    <w:abstractNumId w:val="54"/>
  </w:num>
  <w:num w:numId="29">
    <w:abstractNumId w:val="48"/>
  </w:num>
  <w:num w:numId="30">
    <w:abstractNumId w:val="71"/>
  </w:num>
  <w:num w:numId="31">
    <w:abstractNumId w:val="6"/>
  </w:num>
  <w:num w:numId="32">
    <w:abstractNumId w:val="28"/>
  </w:num>
  <w:num w:numId="33">
    <w:abstractNumId w:val="70"/>
  </w:num>
  <w:num w:numId="34">
    <w:abstractNumId w:val="57"/>
  </w:num>
  <w:num w:numId="35">
    <w:abstractNumId w:val="68"/>
  </w:num>
  <w:num w:numId="36">
    <w:abstractNumId w:val="27"/>
  </w:num>
  <w:num w:numId="37">
    <w:abstractNumId w:val="41"/>
  </w:num>
  <w:num w:numId="38">
    <w:abstractNumId w:val="21"/>
  </w:num>
  <w:num w:numId="39">
    <w:abstractNumId w:val="75"/>
  </w:num>
  <w:num w:numId="40">
    <w:abstractNumId w:val="72"/>
  </w:num>
  <w:num w:numId="41">
    <w:abstractNumId w:val="14"/>
  </w:num>
  <w:num w:numId="42">
    <w:abstractNumId w:val="77"/>
  </w:num>
  <w:num w:numId="43">
    <w:abstractNumId w:val="24"/>
  </w:num>
  <w:num w:numId="44">
    <w:abstractNumId w:val="44"/>
  </w:num>
  <w:num w:numId="45">
    <w:abstractNumId w:val="44"/>
  </w:num>
  <w:num w:numId="46">
    <w:abstractNumId w:val="13"/>
  </w:num>
  <w:num w:numId="47">
    <w:abstractNumId w:val="64"/>
  </w:num>
  <w:num w:numId="48">
    <w:abstractNumId w:val="15"/>
  </w:num>
  <w:num w:numId="49">
    <w:abstractNumId w:val="51"/>
  </w:num>
  <w:num w:numId="50">
    <w:abstractNumId w:val="22"/>
  </w:num>
  <w:num w:numId="51">
    <w:abstractNumId w:val="56"/>
  </w:num>
  <w:num w:numId="52">
    <w:abstractNumId w:val="47"/>
  </w:num>
  <w:num w:numId="53">
    <w:abstractNumId w:val="34"/>
  </w:num>
  <w:num w:numId="54">
    <w:abstractNumId w:val="80"/>
  </w:num>
  <w:num w:numId="55">
    <w:abstractNumId w:val="7"/>
  </w:num>
  <w:num w:numId="56">
    <w:abstractNumId w:val="79"/>
  </w:num>
  <w:num w:numId="57">
    <w:abstractNumId w:val="39"/>
  </w:num>
  <w:num w:numId="58">
    <w:abstractNumId w:val="37"/>
  </w:num>
  <w:num w:numId="59">
    <w:abstractNumId w:val="19"/>
  </w:num>
  <w:num w:numId="60">
    <w:abstractNumId w:val="18"/>
  </w:num>
  <w:num w:numId="61">
    <w:abstractNumId w:val="20"/>
  </w:num>
  <w:num w:numId="62">
    <w:abstractNumId w:val="38"/>
  </w:num>
  <w:num w:numId="63">
    <w:abstractNumId w:val="23"/>
  </w:num>
  <w:num w:numId="64">
    <w:abstractNumId w:val="11"/>
  </w:num>
  <w:num w:numId="65">
    <w:abstractNumId w:val="50"/>
  </w:num>
  <w:num w:numId="66">
    <w:abstractNumId w:val="25"/>
  </w:num>
  <w:num w:numId="67">
    <w:abstractNumId w:val="5"/>
  </w:num>
  <w:num w:numId="68">
    <w:abstractNumId w:val="3"/>
  </w:num>
  <w:num w:numId="69">
    <w:abstractNumId w:val="69"/>
  </w:num>
  <w:num w:numId="70">
    <w:abstractNumId w:val="74"/>
  </w:num>
  <w:num w:numId="71">
    <w:abstractNumId w:val="61"/>
  </w:num>
  <w:num w:numId="72">
    <w:abstractNumId w:val="10"/>
  </w:num>
  <w:num w:numId="73">
    <w:abstractNumId w:val="78"/>
  </w:num>
  <w:num w:numId="74">
    <w:abstractNumId w:val="73"/>
  </w:num>
  <w:num w:numId="75">
    <w:abstractNumId w:val="66"/>
  </w:num>
  <w:num w:numId="76">
    <w:abstractNumId w:val="12"/>
  </w:num>
  <w:num w:numId="77">
    <w:abstractNumId w:val="29"/>
  </w:num>
  <w:num w:numId="78">
    <w:abstractNumId w:val="82"/>
  </w:num>
  <w:num w:numId="79">
    <w:abstractNumId w:val="43"/>
  </w:num>
  <w:num w:numId="80">
    <w:abstractNumId w:val="44"/>
  </w:num>
  <w:num w:numId="81">
    <w:abstractNumId w:val="16"/>
  </w:num>
  <w:num w:numId="82">
    <w:abstractNumId w:val="49"/>
  </w:num>
  <w:num w:numId="83">
    <w:abstractNumId w:val="65"/>
  </w:num>
  <w:num w:numId="84">
    <w:abstractNumId w:val="53"/>
  </w:num>
  <w:num w:numId="85">
    <w:abstractNumId w:val="67"/>
  </w:num>
  <w:num w:numId="86">
    <w:abstractNumId w:val="17"/>
  </w:num>
  <w:num w:numId="87">
    <w:abstractNumId w:val="45"/>
  </w:num>
  <w:num w:numId="88">
    <w:abstractNumId w:val="44"/>
  </w:num>
  <w:num w:numId="89">
    <w:abstractNumId w:val="30"/>
  </w:num>
  <w:num w:numId="90">
    <w:abstractNumId w:val="52"/>
  </w:num>
  <w:num w:numId="91">
    <w:abstractNumId w:val="59"/>
  </w:num>
  <w:num w:numId="92">
    <w:abstractNumId w:val="58"/>
  </w:num>
  <w:num w:numId="93">
    <w:abstractNumId w:val="26"/>
  </w:num>
  <w:num w:numId="94">
    <w:abstractNumId w:va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98"/>
    <w:rsid w:val="0000743C"/>
    <w:rsid w:val="00011971"/>
    <w:rsid w:val="000121AD"/>
    <w:rsid w:val="00013D66"/>
    <w:rsid w:val="00013DD6"/>
    <w:rsid w:val="00013ECF"/>
    <w:rsid w:val="00017064"/>
    <w:rsid w:val="00025D18"/>
    <w:rsid w:val="000264DC"/>
    <w:rsid w:val="000268EE"/>
    <w:rsid w:val="0002779F"/>
    <w:rsid w:val="00030840"/>
    <w:rsid w:val="00030C16"/>
    <w:rsid w:val="00031178"/>
    <w:rsid w:val="000317DE"/>
    <w:rsid w:val="000331FA"/>
    <w:rsid w:val="00033A08"/>
    <w:rsid w:val="00033BE1"/>
    <w:rsid w:val="00035C9C"/>
    <w:rsid w:val="00036318"/>
    <w:rsid w:val="000377CB"/>
    <w:rsid w:val="00040031"/>
    <w:rsid w:val="00041524"/>
    <w:rsid w:val="000423F0"/>
    <w:rsid w:val="00043C91"/>
    <w:rsid w:val="00043D37"/>
    <w:rsid w:val="000464A2"/>
    <w:rsid w:val="0005058C"/>
    <w:rsid w:val="00050A7F"/>
    <w:rsid w:val="000519BA"/>
    <w:rsid w:val="00052804"/>
    <w:rsid w:val="00053C1C"/>
    <w:rsid w:val="00053C39"/>
    <w:rsid w:val="0005400B"/>
    <w:rsid w:val="00054831"/>
    <w:rsid w:val="00054D7E"/>
    <w:rsid w:val="00054E8B"/>
    <w:rsid w:val="00055C4B"/>
    <w:rsid w:val="0006040F"/>
    <w:rsid w:val="000608D5"/>
    <w:rsid w:val="0006244D"/>
    <w:rsid w:val="00063281"/>
    <w:rsid w:val="0006383B"/>
    <w:rsid w:val="00065AB2"/>
    <w:rsid w:val="000711AE"/>
    <w:rsid w:val="00073BD2"/>
    <w:rsid w:val="00075D59"/>
    <w:rsid w:val="000776D6"/>
    <w:rsid w:val="00077951"/>
    <w:rsid w:val="00080B1A"/>
    <w:rsid w:val="00080B38"/>
    <w:rsid w:val="00081682"/>
    <w:rsid w:val="0008552F"/>
    <w:rsid w:val="00086654"/>
    <w:rsid w:val="000871CF"/>
    <w:rsid w:val="0008761C"/>
    <w:rsid w:val="000877FC"/>
    <w:rsid w:val="0009025A"/>
    <w:rsid w:val="0009062C"/>
    <w:rsid w:val="0009110C"/>
    <w:rsid w:val="0009253C"/>
    <w:rsid w:val="00094179"/>
    <w:rsid w:val="00095470"/>
    <w:rsid w:val="00097503"/>
    <w:rsid w:val="000A131F"/>
    <w:rsid w:val="000A1599"/>
    <w:rsid w:val="000A1F49"/>
    <w:rsid w:val="000A456B"/>
    <w:rsid w:val="000A49F9"/>
    <w:rsid w:val="000A4B35"/>
    <w:rsid w:val="000A6BD7"/>
    <w:rsid w:val="000A7EAF"/>
    <w:rsid w:val="000B229C"/>
    <w:rsid w:val="000B47DA"/>
    <w:rsid w:val="000B49F7"/>
    <w:rsid w:val="000B4D9E"/>
    <w:rsid w:val="000B648D"/>
    <w:rsid w:val="000C0BF2"/>
    <w:rsid w:val="000C1E6A"/>
    <w:rsid w:val="000C2794"/>
    <w:rsid w:val="000C5FFD"/>
    <w:rsid w:val="000C6023"/>
    <w:rsid w:val="000C7146"/>
    <w:rsid w:val="000C76FD"/>
    <w:rsid w:val="000C7799"/>
    <w:rsid w:val="000D2994"/>
    <w:rsid w:val="000D7114"/>
    <w:rsid w:val="000E2685"/>
    <w:rsid w:val="000E2853"/>
    <w:rsid w:val="000E338F"/>
    <w:rsid w:val="000E532C"/>
    <w:rsid w:val="000E5D49"/>
    <w:rsid w:val="000E7E40"/>
    <w:rsid w:val="000F04A9"/>
    <w:rsid w:val="000F0DC0"/>
    <w:rsid w:val="000F159F"/>
    <w:rsid w:val="000F1926"/>
    <w:rsid w:val="000F192D"/>
    <w:rsid w:val="000F1961"/>
    <w:rsid w:val="000F2F66"/>
    <w:rsid w:val="000F2FCC"/>
    <w:rsid w:val="000F3285"/>
    <w:rsid w:val="000F6B81"/>
    <w:rsid w:val="000F7886"/>
    <w:rsid w:val="000F7B48"/>
    <w:rsid w:val="001012DC"/>
    <w:rsid w:val="0010131B"/>
    <w:rsid w:val="001026D9"/>
    <w:rsid w:val="00105082"/>
    <w:rsid w:val="001109CA"/>
    <w:rsid w:val="00111254"/>
    <w:rsid w:val="00113F15"/>
    <w:rsid w:val="0011410F"/>
    <w:rsid w:val="00115C45"/>
    <w:rsid w:val="00121BFB"/>
    <w:rsid w:val="00122C6D"/>
    <w:rsid w:val="0012373E"/>
    <w:rsid w:val="00124409"/>
    <w:rsid w:val="0013098D"/>
    <w:rsid w:val="00133526"/>
    <w:rsid w:val="00133E43"/>
    <w:rsid w:val="0013766D"/>
    <w:rsid w:val="00137AFD"/>
    <w:rsid w:val="00140094"/>
    <w:rsid w:val="00141607"/>
    <w:rsid w:val="00141871"/>
    <w:rsid w:val="00145B94"/>
    <w:rsid w:val="00145EBD"/>
    <w:rsid w:val="00146A4C"/>
    <w:rsid w:val="001477A0"/>
    <w:rsid w:val="00147DEC"/>
    <w:rsid w:val="00150553"/>
    <w:rsid w:val="001561C1"/>
    <w:rsid w:val="00156C62"/>
    <w:rsid w:val="001571BE"/>
    <w:rsid w:val="00157261"/>
    <w:rsid w:val="0015780A"/>
    <w:rsid w:val="00160B5F"/>
    <w:rsid w:val="001620C3"/>
    <w:rsid w:val="00162476"/>
    <w:rsid w:val="0016481D"/>
    <w:rsid w:val="001672B8"/>
    <w:rsid w:val="00167437"/>
    <w:rsid w:val="00167DAB"/>
    <w:rsid w:val="001720C6"/>
    <w:rsid w:val="001726BA"/>
    <w:rsid w:val="00172804"/>
    <w:rsid w:val="00174076"/>
    <w:rsid w:val="00175C7B"/>
    <w:rsid w:val="001764D7"/>
    <w:rsid w:val="00180406"/>
    <w:rsid w:val="001819E0"/>
    <w:rsid w:val="00185F95"/>
    <w:rsid w:val="00186A9D"/>
    <w:rsid w:val="00190E8B"/>
    <w:rsid w:val="00191AD5"/>
    <w:rsid w:val="00194579"/>
    <w:rsid w:val="001A33C2"/>
    <w:rsid w:val="001A3840"/>
    <w:rsid w:val="001A4D4A"/>
    <w:rsid w:val="001A7E41"/>
    <w:rsid w:val="001A7ED1"/>
    <w:rsid w:val="001B2766"/>
    <w:rsid w:val="001B6CB3"/>
    <w:rsid w:val="001B6CFB"/>
    <w:rsid w:val="001C1707"/>
    <w:rsid w:val="001C222C"/>
    <w:rsid w:val="001C3AA3"/>
    <w:rsid w:val="001C5734"/>
    <w:rsid w:val="001C6571"/>
    <w:rsid w:val="001D0726"/>
    <w:rsid w:val="001D1BE2"/>
    <w:rsid w:val="001D2BA2"/>
    <w:rsid w:val="001D334C"/>
    <w:rsid w:val="001D56A3"/>
    <w:rsid w:val="001D75F5"/>
    <w:rsid w:val="001D7A22"/>
    <w:rsid w:val="001E323A"/>
    <w:rsid w:val="001E7DAF"/>
    <w:rsid w:val="001E7F3F"/>
    <w:rsid w:val="001F202E"/>
    <w:rsid w:val="001F4ACE"/>
    <w:rsid w:val="001F60CA"/>
    <w:rsid w:val="001F7574"/>
    <w:rsid w:val="002015E3"/>
    <w:rsid w:val="00202343"/>
    <w:rsid w:val="00204F99"/>
    <w:rsid w:val="00205B7B"/>
    <w:rsid w:val="00205DB8"/>
    <w:rsid w:val="002061BA"/>
    <w:rsid w:val="002061D6"/>
    <w:rsid w:val="0021057A"/>
    <w:rsid w:val="002118FA"/>
    <w:rsid w:val="00212699"/>
    <w:rsid w:val="00213477"/>
    <w:rsid w:val="00214179"/>
    <w:rsid w:val="00217922"/>
    <w:rsid w:val="002207E1"/>
    <w:rsid w:val="0022139F"/>
    <w:rsid w:val="00222AB3"/>
    <w:rsid w:val="002231D7"/>
    <w:rsid w:val="00224817"/>
    <w:rsid w:val="00225808"/>
    <w:rsid w:val="002324AA"/>
    <w:rsid w:val="002324F2"/>
    <w:rsid w:val="00232C9B"/>
    <w:rsid w:val="0023305C"/>
    <w:rsid w:val="00233D24"/>
    <w:rsid w:val="00233E93"/>
    <w:rsid w:val="00234210"/>
    <w:rsid w:val="002345AB"/>
    <w:rsid w:val="002366A8"/>
    <w:rsid w:val="002379CA"/>
    <w:rsid w:val="00241B5C"/>
    <w:rsid w:val="00241D92"/>
    <w:rsid w:val="0024361A"/>
    <w:rsid w:val="0024401E"/>
    <w:rsid w:val="00247ADB"/>
    <w:rsid w:val="0025495F"/>
    <w:rsid w:val="00255CBC"/>
    <w:rsid w:val="00255F3B"/>
    <w:rsid w:val="002563B8"/>
    <w:rsid w:val="00256CC2"/>
    <w:rsid w:val="00257F20"/>
    <w:rsid w:val="00261FBB"/>
    <w:rsid w:val="0027009C"/>
    <w:rsid w:val="002701EF"/>
    <w:rsid w:val="00270F52"/>
    <w:rsid w:val="00271FD7"/>
    <w:rsid w:val="002721B5"/>
    <w:rsid w:val="002736A0"/>
    <w:rsid w:val="002741DC"/>
    <w:rsid w:val="00280599"/>
    <w:rsid w:val="00280DF9"/>
    <w:rsid w:val="00281BAE"/>
    <w:rsid w:val="00281EB0"/>
    <w:rsid w:val="00284119"/>
    <w:rsid w:val="00285EFD"/>
    <w:rsid w:val="00287D43"/>
    <w:rsid w:val="002927F1"/>
    <w:rsid w:val="00294F9C"/>
    <w:rsid w:val="002950B6"/>
    <w:rsid w:val="002958E6"/>
    <w:rsid w:val="00296F39"/>
    <w:rsid w:val="00297B3E"/>
    <w:rsid w:val="002A0082"/>
    <w:rsid w:val="002A4268"/>
    <w:rsid w:val="002A6BD4"/>
    <w:rsid w:val="002A792D"/>
    <w:rsid w:val="002B15EB"/>
    <w:rsid w:val="002B498D"/>
    <w:rsid w:val="002B57EF"/>
    <w:rsid w:val="002B61B1"/>
    <w:rsid w:val="002B766A"/>
    <w:rsid w:val="002C2D2A"/>
    <w:rsid w:val="002C41F6"/>
    <w:rsid w:val="002C6D80"/>
    <w:rsid w:val="002C76F0"/>
    <w:rsid w:val="002D4CA8"/>
    <w:rsid w:val="002D570A"/>
    <w:rsid w:val="002D7ABC"/>
    <w:rsid w:val="002E0073"/>
    <w:rsid w:val="002E0B33"/>
    <w:rsid w:val="002E157B"/>
    <w:rsid w:val="002E23BF"/>
    <w:rsid w:val="002E2F93"/>
    <w:rsid w:val="002E3716"/>
    <w:rsid w:val="002E37D3"/>
    <w:rsid w:val="002E51EC"/>
    <w:rsid w:val="002F0B02"/>
    <w:rsid w:val="002F1670"/>
    <w:rsid w:val="002F3124"/>
    <w:rsid w:val="0030016C"/>
    <w:rsid w:val="003041F8"/>
    <w:rsid w:val="003051A6"/>
    <w:rsid w:val="00305547"/>
    <w:rsid w:val="0030666B"/>
    <w:rsid w:val="0031435E"/>
    <w:rsid w:val="00315284"/>
    <w:rsid w:val="003160BE"/>
    <w:rsid w:val="003204EB"/>
    <w:rsid w:val="00320F3F"/>
    <w:rsid w:val="00327491"/>
    <w:rsid w:val="0033001B"/>
    <w:rsid w:val="003314D8"/>
    <w:rsid w:val="003327CA"/>
    <w:rsid w:val="00333EB4"/>
    <w:rsid w:val="003341EF"/>
    <w:rsid w:val="0033698C"/>
    <w:rsid w:val="003372AB"/>
    <w:rsid w:val="003411FA"/>
    <w:rsid w:val="00342B9F"/>
    <w:rsid w:val="003510FB"/>
    <w:rsid w:val="003530C7"/>
    <w:rsid w:val="00354D55"/>
    <w:rsid w:val="00354F97"/>
    <w:rsid w:val="003561A2"/>
    <w:rsid w:val="00361DC1"/>
    <w:rsid w:val="0036361D"/>
    <w:rsid w:val="00363F0F"/>
    <w:rsid w:val="00364D40"/>
    <w:rsid w:val="003672C1"/>
    <w:rsid w:val="00367918"/>
    <w:rsid w:val="003700A0"/>
    <w:rsid w:val="00370A45"/>
    <w:rsid w:val="00371313"/>
    <w:rsid w:val="00371B89"/>
    <w:rsid w:val="0037496B"/>
    <w:rsid w:val="00380ACF"/>
    <w:rsid w:val="00381F48"/>
    <w:rsid w:val="003823C3"/>
    <w:rsid w:val="003832E8"/>
    <w:rsid w:val="00384567"/>
    <w:rsid w:val="003856D4"/>
    <w:rsid w:val="00386BBE"/>
    <w:rsid w:val="0039191E"/>
    <w:rsid w:val="00392CF1"/>
    <w:rsid w:val="00392D13"/>
    <w:rsid w:val="003960BD"/>
    <w:rsid w:val="003A09B5"/>
    <w:rsid w:val="003A2A1E"/>
    <w:rsid w:val="003A32FC"/>
    <w:rsid w:val="003A3ACD"/>
    <w:rsid w:val="003A6921"/>
    <w:rsid w:val="003B0E32"/>
    <w:rsid w:val="003B143E"/>
    <w:rsid w:val="003B3192"/>
    <w:rsid w:val="003B5658"/>
    <w:rsid w:val="003B592A"/>
    <w:rsid w:val="003B678B"/>
    <w:rsid w:val="003C3366"/>
    <w:rsid w:val="003C3A07"/>
    <w:rsid w:val="003C4548"/>
    <w:rsid w:val="003C4BC0"/>
    <w:rsid w:val="003C4D75"/>
    <w:rsid w:val="003D19E4"/>
    <w:rsid w:val="003D4B58"/>
    <w:rsid w:val="003D6B96"/>
    <w:rsid w:val="003D7520"/>
    <w:rsid w:val="003E0722"/>
    <w:rsid w:val="003E2220"/>
    <w:rsid w:val="003E2C3A"/>
    <w:rsid w:val="003E3575"/>
    <w:rsid w:val="003E3BAF"/>
    <w:rsid w:val="003E3DA1"/>
    <w:rsid w:val="003E4945"/>
    <w:rsid w:val="003E5AE0"/>
    <w:rsid w:val="003F2E7D"/>
    <w:rsid w:val="003F30C5"/>
    <w:rsid w:val="003F358D"/>
    <w:rsid w:val="003F35A6"/>
    <w:rsid w:val="003F394A"/>
    <w:rsid w:val="003F5636"/>
    <w:rsid w:val="003F691B"/>
    <w:rsid w:val="003F731D"/>
    <w:rsid w:val="003F7CC7"/>
    <w:rsid w:val="00400BCA"/>
    <w:rsid w:val="00400BFD"/>
    <w:rsid w:val="004047CB"/>
    <w:rsid w:val="00406CDF"/>
    <w:rsid w:val="00407B72"/>
    <w:rsid w:val="004113B5"/>
    <w:rsid w:val="004119A3"/>
    <w:rsid w:val="004129BB"/>
    <w:rsid w:val="00421306"/>
    <w:rsid w:val="00421B34"/>
    <w:rsid w:val="00421C38"/>
    <w:rsid w:val="004236CF"/>
    <w:rsid w:val="00423B04"/>
    <w:rsid w:val="00425253"/>
    <w:rsid w:val="00425DDE"/>
    <w:rsid w:val="004271B4"/>
    <w:rsid w:val="0042774E"/>
    <w:rsid w:val="00430B91"/>
    <w:rsid w:val="00433774"/>
    <w:rsid w:val="00434730"/>
    <w:rsid w:val="00435B8F"/>
    <w:rsid w:val="00440253"/>
    <w:rsid w:val="0044087E"/>
    <w:rsid w:val="0044378F"/>
    <w:rsid w:val="00445B51"/>
    <w:rsid w:val="00446ACA"/>
    <w:rsid w:val="00450788"/>
    <w:rsid w:val="00450E1E"/>
    <w:rsid w:val="00454882"/>
    <w:rsid w:val="00455C1C"/>
    <w:rsid w:val="00456AB9"/>
    <w:rsid w:val="00457158"/>
    <w:rsid w:val="00457B47"/>
    <w:rsid w:val="0046152D"/>
    <w:rsid w:val="00461A81"/>
    <w:rsid w:val="00461A92"/>
    <w:rsid w:val="00465356"/>
    <w:rsid w:val="004662F6"/>
    <w:rsid w:val="00467C15"/>
    <w:rsid w:val="00474ECE"/>
    <w:rsid w:val="0047525D"/>
    <w:rsid w:val="00475C53"/>
    <w:rsid w:val="004763D9"/>
    <w:rsid w:val="004801A1"/>
    <w:rsid w:val="00480C85"/>
    <w:rsid w:val="00482282"/>
    <w:rsid w:val="0048345B"/>
    <w:rsid w:val="0048411D"/>
    <w:rsid w:val="00484685"/>
    <w:rsid w:val="00484742"/>
    <w:rsid w:val="00485CB0"/>
    <w:rsid w:val="00485DD9"/>
    <w:rsid w:val="00487F05"/>
    <w:rsid w:val="00496D59"/>
    <w:rsid w:val="004A08CC"/>
    <w:rsid w:val="004A0CCB"/>
    <w:rsid w:val="004A20E9"/>
    <w:rsid w:val="004A2470"/>
    <w:rsid w:val="004A3F37"/>
    <w:rsid w:val="004A71DD"/>
    <w:rsid w:val="004B0F97"/>
    <w:rsid w:val="004B1E56"/>
    <w:rsid w:val="004B37A0"/>
    <w:rsid w:val="004B3B89"/>
    <w:rsid w:val="004B4FBD"/>
    <w:rsid w:val="004B5898"/>
    <w:rsid w:val="004B7692"/>
    <w:rsid w:val="004B7FC7"/>
    <w:rsid w:val="004C0F09"/>
    <w:rsid w:val="004C1DFA"/>
    <w:rsid w:val="004C38BA"/>
    <w:rsid w:val="004C6FBE"/>
    <w:rsid w:val="004C7E4F"/>
    <w:rsid w:val="004D0F09"/>
    <w:rsid w:val="004D4DC4"/>
    <w:rsid w:val="004D520F"/>
    <w:rsid w:val="004E04A7"/>
    <w:rsid w:val="004E0842"/>
    <w:rsid w:val="004E2C81"/>
    <w:rsid w:val="004E4415"/>
    <w:rsid w:val="004E61A9"/>
    <w:rsid w:val="004E6BB9"/>
    <w:rsid w:val="004F1192"/>
    <w:rsid w:val="004F321C"/>
    <w:rsid w:val="00502C8B"/>
    <w:rsid w:val="00502D75"/>
    <w:rsid w:val="00503396"/>
    <w:rsid w:val="00504D6D"/>
    <w:rsid w:val="005067E2"/>
    <w:rsid w:val="00506EC9"/>
    <w:rsid w:val="00507D94"/>
    <w:rsid w:val="00510AE3"/>
    <w:rsid w:val="00513A98"/>
    <w:rsid w:val="00515751"/>
    <w:rsid w:val="005159C6"/>
    <w:rsid w:val="00521B8E"/>
    <w:rsid w:val="00523283"/>
    <w:rsid w:val="0052669B"/>
    <w:rsid w:val="00526D12"/>
    <w:rsid w:val="0052765F"/>
    <w:rsid w:val="0053051C"/>
    <w:rsid w:val="00531A6C"/>
    <w:rsid w:val="005343B1"/>
    <w:rsid w:val="00537EAB"/>
    <w:rsid w:val="00541381"/>
    <w:rsid w:val="00541C35"/>
    <w:rsid w:val="00543A8D"/>
    <w:rsid w:val="00544029"/>
    <w:rsid w:val="00547FBE"/>
    <w:rsid w:val="00550D24"/>
    <w:rsid w:val="00551A7C"/>
    <w:rsid w:val="00551D11"/>
    <w:rsid w:val="00552562"/>
    <w:rsid w:val="005548BB"/>
    <w:rsid w:val="00554926"/>
    <w:rsid w:val="00554D60"/>
    <w:rsid w:val="00556B4B"/>
    <w:rsid w:val="00557C9C"/>
    <w:rsid w:val="005600E9"/>
    <w:rsid w:val="00561055"/>
    <w:rsid w:val="00561912"/>
    <w:rsid w:val="00564A8B"/>
    <w:rsid w:val="00564F6A"/>
    <w:rsid w:val="0056511E"/>
    <w:rsid w:val="005673CE"/>
    <w:rsid w:val="005677C1"/>
    <w:rsid w:val="00567FE3"/>
    <w:rsid w:val="00572A9A"/>
    <w:rsid w:val="00577EB5"/>
    <w:rsid w:val="00580B2C"/>
    <w:rsid w:val="0058203D"/>
    <w:rsid w:val="0058215B"/>
    <w:rsid w:val="00585665"/>
    <w:rsid w:val="00586668"/>
    <w:rsid w:val="00592EA3"/>
    <w:rsid w:val="00593F85"/>
    <w:rsid w:val="005953C2"/>
    <w:rsid w:val="005959E8"/>
    <w:rsid w:val="005A2BEA"/>
    <w:rsid w:val="005A4C91"/>
    <w:rsid w:val="005A501C"/>
    <w:rsid w:val="005A61BD"/>
    <w:rsid w:val="005A7B84"/>
    <w:rsid w:val="005B2F14"/>
    <w:rsid w:val="005C0F08"/>
    <w:rsid w:val="005C2000"/>
    <w:rsid w:val="005C2368"/>
    <w:rsid w:val="005C45B4"/>
    <w:rsid w:val="005C7B3C"/>
    <w:rsid w:val="005D12C1"/>
    <w:rsid w:val="005D2153"/>
    <w:rsid w:val="005D2D31"/>
    <w:rsid w:val="005D6CD0"/>
    <w:rsid w:val="005E2FDE"/>
    <w:rsid w:val="005E30D9"/>
    <w:rsid w:val="005E3937"/>
    <w:rsid w:val="005E3ED0"/>
    <w:rsid w:val="005E58E7"/>
    <w:rsid w:val="005E5D19"/>
    <w:rsid w:val="005E64AC"/>
    <w:rsid w:val="005E6B2D"/>
    <w:rsid w:val="005E75B6"/>
    <w:rsid w:val="005F1ACF"/>
    <w:rsid w:val="005F1BF0"/>
    <w:rsid w:val="005F213B"/>
    <w:rsid w:val="005F320E"/>
    <w:rsid w:val="005F387D"/>
    <w:rsid w:val="005F3C5B"/>
    <w:rsid w:val="00601134"/>
    <w:rsid w:val="0060696E"/>
    <w:rsid w:val="00610359"/>
    <w:rsid w:val="00610A73"/>
    <w:rsid w:val="00615960"/>
    <w:rsid w:val="0061619C"/>
    <w:rsid w:val="00621326"/>
    <w:rsid w:val="00622C83"/>
    <w:rsid w:val="006240E4"/>
    <w:rsid w:val="00627BAB"/>
    <w:rsid w:val="00627F22"/>
    <w:rsid w:val="006313D9"/>
    <w:rsid w:val="006347AA"/>
    <w:rsid w:val="00636C90"/>
    <w:rsid w:val="00637006"/>
    <w:rsid w:val="006418BE"/>
    <w:rsid w:val="00641B76"/>
    <w:rsid w:val="00642CBF"/>
    <w:rsid w:val="00643EBC"/>
    <w:rsid w:val="00644658"/>
    <w:rsid w:val="00646A5E"/>
    <w:rsid w:val="00650984"/>
    <w:rsid w:val="00653592"/>
    <w:rsid w:val="0065393A"/>
    <w:rsid w:val="00656AF8"/>
    <w:rsid w:val="00657061"/>
    <w:rsid w:val="00657643"/>
    <w:rsid w:val="006607BF"/>
    <w:rsid w:val="006613C6"/>
    <w:rsid w:val="00661DCA"/>
    <w:rsid w:val="0066463C"/>
    <w:rsid w:val="006655A8"/>
    <w:rsid w:val="00673E4B"/>
    <w:rsid w:val="00674088"/>
    <w:rsid w:val="00674694"/>
    <w:rsid w:val="0067489D"/>
    <w:rsid w:val="0067623E"/>
    <w:rsid w:val="00676424"/>
    <w:rsid w:val="006775FB"/>
    <w:rsid w:val="00677FB5"/>
    <w:rsid w:val="006814C3"/>
    <w:rsid w:val="00681C78"/>
    <w:rsid w:val="00682046"/>
    <w:rsid w:val="00682964"/>
    <w:rsid w:val="00683664"/>
    <w:rsid w:val="0068461F"/>
    <w:rsid w:val="00684741"/>
    <w:rsid w:val="00693CAB"/>
    <w:rsid w:val="006949A0"/>
    <w:rsid w:val="00695163"/>
    <w:rsid w:val="00695C87"/>
    <w:rsid w:val="0069762F"/>
    <w:rsid w:val="00697D99"/>
    <w:rsid w:val="006B0AD1"/>
    <w:rsid w:val="006B0BE7"/>
    <w:rsid w:val="006B22AC"/>
    <w:rsid w:val="006B2EC0"/>
    <w:rsid w:val="006B5202"/>
    <w:rsid w:val="006B73AA"/>
    <w:rsid w:val="006C01FB"/>
    <w:rsid w:val="006C0E03"/>
    <w:rsid w:val="006C0E16"/>
    <w:rsid w:val="006C396F"/>
    <w:rsid w:val="006C4459"/>
    <w:rsid w:val="006C50CF"/>
    <w:rsid w:val="006C5A0E"/>
    <w:rsid w:val="006D02C8"/>
    <w:rsid w:val="006D1519"/>
    <w:rsid w:val="006D1E72"/>
    <w:rsid w:val="006D37F2"/>
    <w:rsid w:val="006D39A6"/>
    <w:rsid w:val="006D3B53"/>
    <w:rsid w:val="006D63A0"/>
    <w:rsid w:val="006E068D"/>
    <w:rsid w:val="006E0AD6"/>
    <w:rsid w:val="006E22D9"/>
    <w:rsid w:val="006E450B"/>
    <w:rsid w:val="006E48BB"/>
    <w:rsid w:val="006E4D1E"/>
    <w:rsid w:val="006E65F4"/>
    <w:rsid w:val="006E7B99"/>
    <w:rsid w:val="006F0660"/>
    <w:rsid w:val="006F37E9"/>
    <w:rsid w:val="006F3EAF"/>
    <w:rsid w:val="006F5B51"/>
    <w:rsid w:val="006F60D9"/>
    <w:rsid w:val="006F6C51"/>
    <w:rsid w:val="006F7BE4"/>
    <w:rsid w:val="00702528"/>
    <w:rsid w:val="00702709"/>
    <w:rsid w:val="00702D9A"/>
    <w:rsid w:val="00703029"/>
    <w:rsid w:val="00703CFF"/>
    <w:rsid w:val="0070456F"/>
    <w:rsid w:val="007049E5"/>
    <w:rsid w:val="00705D45"/>
    <w:rsid w:val="00712053"/>
    <w:rsid w:val="00713F30"/>
    <w:rsid w:val="00714342"/>
    <w:rsid w:val="007156B9"/>
    <w:rsid w:val="007164C3"/>
    <w:rsid w:val="00717BA6"/>
    <w:rsid w:val="00720135"/>
    <w:rsid w:val="00722460"/>
    <w:rsid w:val="00722CC4"/>
    <w:rsid w:val="0072410E"/>
    <w:rsid w:val="00724914"/>
    <w:rsid w:val="007265A2"/>
    <w:rsid w:val="007314AE"/>
    <w:rsid w:val="00737BCB"/>
    <w:rsid w:val="00741DE3"/>
    <w:rsid w:val="0074289B"/>
    <w:rsid w:val="00746031"/>
    <w:rsid w:val="0075218A"/>
    <w:rsid w:val="00752D0A"/>
    <w:rsid w:val="007530AD"/>
    <w:rsid w:val="00755031"/>
    <w:rsid w:val="0075687D"/>
    <w:rsid w:val="00757B59"/>
    <w:rsid w:val="007613E0"/>
    <w:rsid w:val="007616CB"/>
    <w:rsid w:val="00761D9F"/>
    <w:rsid w:val="0076345D"/>
    <w:rsid w:val="00763D28"/>
    <w:rsid w:val="00763E78"/>
    <w:rsid w:val="0076734C"/>
    <w:rsid w:val="007734EE"/>
    <w:rsid w:val="0077354F"/>
    <w:rsid w:val="0077677A"/>
    <w:rsid w:val="007776F1"/>
    <w:rsid w:val="00777F48"/>
    <w:rsid w:val="00780F7D"/>
    <w:rsid w:val="0078216B"/>
    <w:rsid w:val="00782B75"/>
    <w:rsid w:val="00782BA6"/>
    <w:rsid w:val="00785AFC"/>
    <w:rsid w:val="00787B35"/>
    <w:rsid w:val="00791129"/>
    <w:rsid w:val="0079269C"/>
    <w:rsid w:val="00793AD9"/>
    <w:rsid w:val="007948A3"/>
    <w:rsid w:val="007A0240"/>
    <w:rsid w:val="007A0F7F"/>
    <w:rsid w:val="007A3301"/>
    <w:rsid w:val="007A56C4"/>
    <w:rsid w:val="007A72CA"/>
    <w:rsid w:val="007A7B29"/>
    <w:rsid w:val="007B0C3E"/>
    <w:rsid w:val="007B27D5"/>
    <w:rsid w:val="007B3FF4"/>
    <w:rsid w:val="007B421B"/>
    <w:rsid w:val="007B6225"/>
    <w:rsid w:val="007C0902"/>
    <w:rsid w:val="007C194E"/>
    <w:rsid w:val="007C19E7"/>
    <w:rsid w:val="007C1B4E"/>
    <w:rsid w:val="007C3B44"/>
    <w:rsid w:val="007C66FB"/>
    <w:rsid w:val="007C7901"/>
    <w:rsid w:val="007D2058"/>
    <w:rsid w:val="007D2622"/>
    <w:rsid w:val="007D312B"/>
    <w:rsid w:val="007D3E05"/>
    <w:rsid w:val="007D40F6"/>
    <w:rsid w:val="007D43C5"/>
    <w:rsid w:val="007D54B6"/>
    <w:rsid w:val="007D5AE0"/>
    <w:rsid w:val="007E2604"/>
    <w:rsid w:val="007E4D95"/>
    <w:rsid w:val="007E4DC8"/>
    <w:rsid w:val="007E4E7B"/>
    <w:rsid w:val="007E7862"/>
    <w:rsid w:val="007F3A1E"/>
    <w:rsid w:val="007F5ACE"/>
    <w:rsid w:val="007F6496"/>
    <w:rsid w:val="007F7311"/>
    <w:rsid w:val="008003E8"/>
    <w:rsid w:val="00800A59"/>
    <w:rsid w:val="00805E60"/>
    <w:rsid w:val="00806F0F"/>
    <w:rsid w:val="00807C47"/>
    <w:rsid w:val="00810A9F"/>
    <w:rsid w:val="00812809"/>
    <w:rsid w:val="0081337A"/>
    <w:rsid w:val="00814C1D"/>
    <w:rsid w:val="00817943"/>
    <w:rsid w:val="008216AB"/>
    <w:rsid w:val="00821B16"/>
    <w:rsid w:val="00821B67"/>
    <w:rsid w:val="00821D86"/>
    <w:rsid w:val="008227B7"/>
    <w:rsid w:val="0082503E"/>
    <w:rsid w:val="00825952"/>
    <w:rsid w:val="00827412"/>
    <w:rsid w:val="00831061"/>
    <w:rsid w:val="008342D1"/>
    <w:rsid w:val="00834CE8"/>
    <w:rsid w:val="00835FAE"/>
    <w:rsid w:val="008364B0"/>
    <w:rsid w:val="0083655F"/>
    <w:rsid w:val="00840D39"/>
    <w:rsid w:val="00841F64"/>
    <w:rsid w:val="0084456E"/>
    <w:rsid w:val="00844DCB"/>
    <w:rsid w:val="00845D30"/>
    <w:rsid w:val="008461E5"/>
    <w:rsid w:val="00847B35"/>
    <w:rsid w:val="008509C4"/>
    <w:rsid w:val="008520E3"/>
    <w:rsid w:val="00853EAD"/>
    <w:rsid w:val="008553E8"/>
    <w:rsid w:val="008572F1"/>
    <w:rsid w:val="008638BE"/>
    <w:rsid w:val="00864216"/>
    <w:rsid w:val="00865660"/>
    <w:rsid w:val="008667B0"/>
    <w:rsid w:val="008708D3"/>
    <w:rsid w:val="00873E2B"/>
    <w:rsid w:val="00874E2A"/>
    <w:rsid w:val="00875F3F"/>
    <w:rsid w:val="008774DD"/>
    <w:rsid w:val="00877B1A"/>
    <w:rsid w:val="008814BC"/>
    <w:rsid w:val="00882E36"/>
    <w:rsid w:val="008839ED"/>
    <w:rsid w:val="00885474"/>
    <w:rsid w:val="0089381C"/>
    <w:rsid w:val="00895C3C"/>
    <w:rsid w:val="0089675E"/>
    <w:rsid w:val="008A0B8A"/>
    <w:rsid w:val="008A0D64"/>
    <w:rsid w:val="008A1853"/>
    <w:rsid w:val="008A34BE"/>
    <w:rsid w:val="008A3A65"/>
    <w:rsid w:val="008A3ECA"/>
    <w:rsid w:val="008A414A"/>
    <w:rsid w:val="008A49A0"/>
    <w:rsid w:val="008A7002"/>
    <w:rsid w:val="008A728D"/>
    <w:rsid w:val="008A7B9C"/>
    <w:rsid w:val="008B2E33"/>
    <w:rsid w:val="008B3C4C"/>
    <w:rsid w:val="008B63C7"/>
    <w:rsid w:val="008C122C"/>
    <w:rsid w:val="008C1954"/>
    <w:rsid w:val="008C3AA2"/>
    <w:rsid w:val="008C45BC"/>
    <w:rsid w:val="008C48DD"/>
    <w:rsid w:val="008C59F0"/>
    <w:rsid w:val="008C64EA"/>
    <w:rsid w:val="008C6EE1"/>
    <w:rsid w:val="008D074B"/>
    <w:rsid w:val="008D1300"/>
    <w:rsid w:val="008D63A9"/>
    <w:rsid w:val="008D6CB9"/>
    <w:rsid w:val="008E27DE"/>
    <w:rsid w:val="008E3CB5"/>
    <w:rsid w:val="008E4FD2"/>
    <w:rsid w:val="008E5BC9"/>
    <w:rsid w:val="008F0789"/>
    <w:rsid w:val="008F0D28"/>
    <w:rsid w:val="008F1E52"/>
    <w:rsid w:val="008F284F"/>
    <w:rsid w:val="008F3879"/>
    <w:rsid w:val="008F64D6"/>
    <w:rsid w:val="008F6D80"/>
    <w:rsid w:val="008F70BD"/>
    <w:rsid w:val="0090263C"/>
    <w:rsid w:val="0090427D"/>
    <w:rsid w:val="00904CB1"/>
    <w:rsid w:val="00905669"/>
    <w:rsid w:val="00907209"/>
    <w:rsid w:val="00907AC5"/>
    <w:rsid w:val="00907FA8"/>
    <w:rsid w:val="009153BA"/>
    <w:rsid w:val="00916115"/>
    <w:rsid w:val="00917400"/>
    <w:rsid w:val="009208A2"/>
    <w:rsid w:val="009212B4"/>
    <w:rsid w:val="009213F2"/>
    <w:rsid w:val="009224E6"/>
    <w:rsid w:val="0092356E"/>
    <w:rsid w:val="00925375"/>
    <w:rsid w:val="00926385"/>
    <w:rsid w:val="0092770C"/>
    <w:rsid w:val="00930011"/>
    <w:rsid w:val="00931ADA"/>
    <w:rsid w:val="00932E71"/>
    <w:rsid w:val="00934803"/>
    <w:rsid w:val="0093488E"/>
    <w:rsid w:val="00935696"/>
    <w:rsid w:val="009357F9"/>
    <w:rsid w:val="009377A1"/>
    <w:rsid w:val="00937907"/>
    <w:rsid w:val="00940B81"/>
    <w:rsid w:val="0094200E"/>
    <w:rsid w:val="009434F2"/>
    <w:rsid w:val="00943CA0"/>
    <w:rsid w:val="00945FF8"/>
    <w:rsid w:val="00946634"/>
    <w:rsid w:val="0094718F"/>
    <w:rsid w:val="009515A8"/>
    <w:rsid w:val="009532FA"/>
    <w:rsid w:val="009537BF"/>
    <w:rsid w:val="009556AD"/>
    <w:rsid w:val="00955FC1"/>
    <w:rsid w:val="00957402"/>
    <w:rsid w:val="00960C55"/>
    <w:rsid w:val="00961CAA"/>
    <w:rsid w:val="00961CE1"/>
    <w:rsid w:val="00964709"/>
    <w:rsid w:val="00966BCF"/>
    <w:rsid w:val="009720FA"/>
    <w:rsid w:val="00972CE6"/>
    <w:rsid w:val="00973001"/>
    <w:rsid w:val="00981320"/>
    <w:rsid w:val="00982C1F"/>
    <w:rsid w:val="00984B72"/>
    <w:rsid w:val="00985902"/>
    <w:rsid w:val="00990F5C"/>
    <w:rsid w:val="00992CAE"/>
    <w:rsid w:val="00995486"/>
    <w:rsid w:val="009957D1"/>
    <w:rsid w:val="009967B2"/>
    <w:rsid w:val="009A1824"/>
    <w:rsid w:val="009A2C2B"/>
    <w:rsid w:val="009A5864"/>
    <w:rsid w:val="009A6369"/>
    <w:rsid w:val="009B0031"/>
    <w:rsid w:val="009B2FEB"/>
    <w:rsid w:val="009B5432"/>
    <w:rsid w:val="009B6450"/>
    <w:rsid w:val="009B7461"/>
    <w:rsid w:val="009C029D"/>
    <w:rsid w:val="009C087A"/>
    <w:rsid w:val="009C18CF"/>
    <w:rsid w:val="009C1A7A"/>
    <w:rsid w:val="009C22CB"/>
    <w:rsid w:val="009C5E2B"/>
    <w:rsid w:val="009C70B2"/>
    <w:rsid w:val="009C77E8"/>
    <w:rsid w:val="009D0B19"/>
    <w:rsid w:val="009D2048"/>
    <w:rsid w:val="009D2BD9"/>
    <w:rsid w:val="009D3F5A"/>
    <w:rsid w:val="009D4B2D"/>
    <w:rsid w:val="009E28D2"/>
    <w:rsid w:val="009E402C"/>
    <w:rsid w:val="009F0E81"/>
    <w:rsid w:val="009F14A7"/>
    <w:rsid w:val="009F2066"/>
    <w:rsid w:val="009F31AA"/>
    <w:rsid w:val="009F4F82"/>
    <w:rsid w:val="009F6D17"/>
    <w:rsid w:val="00A0196E"/>
    <w:rsid w:val="00A01EEC"/>
    <w:rsid w:val="00A02068"/>
    <w:rsid w:val="00A03402"/>
    <w:rsid w:val="00A0557B"/>
    <w:rsid w:val="00A061D7"/>
    <w:rsid w:val="00A0641D"/>
    <w:rsid w:val="00A07A98"/>
    <w:rsid w:val="00A10DE5"/>
    <w:rsid w:val="00A12D94"/>
    <w:rsid w:val="00A165DE"/>
    <w:rsid w:val="00A17FEE"/>
    <w:rsid w:val="00A25400"/>
    <w:rsid w:val="00A27CB3"/>
    <w:rsid w:val="00A302D9"/>
    <w:rsid w:val="00A33C16"/>
    <w:rsid w:val="00A33D5A"/>
    <w:rsid w:val="00A34500"/>
    <w:rsid w:val="00A364AD"/>
    <w:rsid w:val="00A407E8"/>
    <w:rsid w:val="00A40965"/>
    <w:rsid w:val="00A42245"/>
    <w:rsid w:val="00A44EDD"/>
    <w:rsid w:val="00A47569"/>
    <w:rsid w:val="00A52677"/>
    <w:rsid w:val="00A52844"/>
    <w:rsid w:val="00A52AE7"/>
    <w:rsid w:val="00A54895"/>
    <w:rsid w:val="00A54C22"/>
    <w:rsid w:val="00A55668"/>
    <w:rsid w:val="00A55AA0"/>
    <w:rsid w:val="00A60BD4"/>
    <w:rsid w:val="00A61A78"/>
    <w:rsid w:val="00A65E16"/>
    <w:rsid w:val="00A67C69"/>
    <w:rsid w:val="00A71C8D"/>
    <w:rsid w:val="00A760C6"/>
    <w:rsid w:val="00A766D4"/>
    <w:rsid w:val="00A80744"/>
    <w:rsid w:val="00A80934"/>
    <w:rsid w:val="00A832E6"/>
    <w:rsid w:val="00A84122"/>
    <w:rsid w:val="00A8423C"/>
    <w:rsid w:val="00A86267"/>
    <w:rsid w:val="00A86765"/>
    <w:rsid w:val="00A86927"/>
    <w:rsid w:val="00A87233"/>
    <w:rsid w:val="00A9193B"/>
    <w:rsid w:val="00A93D7C"/>
    <w:rsid w:val="00A952C7"/>
    <w:rsid w:val="00A957E7"/>
    <w:rsid w:val="00AA34FF"/>
    <w:rsid w:val="00AB0B48"/>
    <w:rsid w:val="00AB40EA"/>
    <w:rsid w:val="00AB5B9E"/>
    <w:rsid w:val="00AC2E35"/>
    <w:rsid w:val="00AC4C1D"/>
    <w:rsid w:val="00AC596D"/>
    <w:rsid w:val="00AD4C31"/>
    <w:rsid w:val="00AD75E9"/>
    <w:rsid w:val="00AD789D"/>
    <w:rsid w:val="00AD7C13"/>
    <w:rsid w:val="00AE44CB"/>
    <w:rsid w:val="00AE5499"/>
    <w:rsid w:val="00AE772B"/>
    <w:rsid w:val="00AF55D2"/>
    <w:rsid w:val="00B002F0"/>
    <w:rsid w:val="00B035B7"/>
    <w:rsid w:val="00B03879"/>
    <w:rsid w:val="00B03DCA"/>
    <w:rsid w:val="00B04837"/>
    <w:rsid w:val="00B100B5"/>
    <w:rsid w:val="00B10ACD"/>
    <w:rsid w:val="00B11ACA"/>
    <w:rsid w:val="00B11DF8"/>
    <w:rsid w:val="00B15519"/>
    <w:rsid w:val="00B21F44"/>
    <w:rsid w:val="00B23219"/>
    <w:rsid w:val="00B23771"/>
    <w:rsid w:val="00B24304"/>
    <w:rsid w:val="00B26275"/>
    <w:rsid w:val="00B33091"/>
    <w:rsid w:val="00B43E8D"/>
    <w:rsid w:val="00B467EA"/>
    <w:rsid w:val="00B47593"/>
    <w:rsid w:val="00B50A89"/>
    <w:rsid w:val="00B5108E"/>
    <w:rsid w:val="00B51F98"/>
    <w:rsid w:val="00B51FC5"/>
    <w:rsid w:val="00B5200D"/>
    <w:rsid w:val="00B52355"/>
    <w:rsid w:val="00B53677"/>
    <w:rsid w:val="00B54FCE"/>
    <w:rsid w:val="00B57C66"/>
    <w:rsid w:val="00B608D2"/>
    <w:rsid w:val="00B626D3"/>
    <w:rsid w:val="00B63AE5"/>
    <w:rsid w:val="00B64D18"/>
    <w:rsid w:val="00B65D17"/>
    <w:rsid w:val="00B66DC9"/>
    <w:rsid w:val="00B6773C"/>
    <w:rsid w:val="00B67B5C"/>
    <w:rsid w:val="00B72C5D"/>
    <w:rsid w:val="00B74A00"/>
    <w:rsid w:val="00B74C52"/>
    <w:rsid w:val="00B819B6"/>
    <w:rsid w:val="00B82FDD"/>
    <w:rsid w:val="00B83758"/>
    <w:rsid w:val="00B862C8"/>
    <w:rsid w:val="00B916E2"/>
    <w:rsid w:val="00B91F0B"/>
    <w:rsid w:val="00B9250F"/>
    <w:rsid w:val="00B930C1"/>
    <w:rsid w:val="00B9506A"/>
    <w:rsid w:val="00B9564A"/>
    <w:rsid w:val="00B963C2"/>
    <w:rsid w:val="00B96542"/>
    <w:rsid w:val="00BA6A33"/>
    <w:rsid w:val="00BB2E4A"/>
    <w:rsid w:val="00BB36B7"/>
    <w:rsid w:val="00BB60E3"/>
    <w:rsid w:val="00BC0193"/>
    <w:rsid w:val="00BC049A"/>
    <w:rsid w:val="00BC27AE"/>
    <w:rsid w:val="00BC3711"/>
    <w:rsid w:val="00BC4603"/>
    <w:rsid w:val="00BC7E96"/>
    <w:rsid w:val="00BD004D"/>
    <w:rsid w:val="00BD0D92"/>
    <w:rsid w:val="00BD3296"/>
    <w:rsid w:val="00BD355B"/>
    <w:rsid w:val="00BD4BE0"/>
    <w:rsid w:val="00BD7A79"/>
    <w:rsid w:val="00BD7D4C"/>
    <w:rsid w:val="00BE00FB"/>
    <w:rsid w:val="00BE27D3"/>
    <w:rsid w:val="00BE3CE6"/>
    <w:rsid w:val="00BE442D"/>
    <w:rsid w:val="00BE5764"/>
    <w:rsid w:val="00BE57D2"/>
    <w:rsid w:val="00BE5A07"/>
    <w:rsid w:val="00BE5E39"/>
    <w:rsid w:val="00BE602E"/>
    <w:rsid w:val="00BF6403"/>
    <w:rsid w:val="00C0026F"/>
    <w:rsid w:val="00C00B0F"/>
    <w:rsid w:val="00C01C07"/>
    <w:rsid w:val="00C0440E"/>
    <w:rsid w:val="00C04D55"/>
    <w:rsid w:val="00C0582F"/>
    <w:rsid w:val="00C06046"/>
    <w:rsid w:val="00C1214A"/>
    <w:rsid w:val="00C14B6C"/>
    <w:rsid w:val="00C1650F"/>
    <w:rsid w:val="00C173E1"/>
    <w:rsid w:val="00C20C88"/>
    <w:rsid w:val="00C211D1"/>
    <w:rsid w:val="00C21975"/>
    <w:rsid w:val="00C2206F"/>
    <w:rsid w:val="00C2354A"/>
    <w:rsid w:val="00C2609F"/>
    <w:rsid w:val="00C30C1E"/>
    <w:rsid w:val="00C30F7D"/>
    <w:rsid w:val="00C35F54"/>
    <w:rsid w:val="00C365EB"/>
    <w:rsid w:val="00C4129A"/>
    <w:rsid w:val="00C4194F"/>
    <w:rsid w:val="00C41E43"/>
    <w:rsid w:val="00C44C02"/>
    <w:rsid w:val="00C476D4"/>
    <w:rsid w:val="00C477CC"/>
    <w:rsid w:val="00C5086C"/>
    <w:rsid w:val="00C512C2"/>
    <w:rsid w:val="00C51A9E"/>
    <w:rsid w:val="00C5209B"/>
    <w:rsid w:val="00C52334"/>
    <w:rsid w:val="00C5752E"/>
    <w:rsid w:val="00C6231A"/>
    <w:rsid w:val="00C6366B"/>
    <w:rsid w:val="00C63B56"/>
    <w:rsid w:val="00C663CD"/>
    <w:rsid w:val="00C66920"/>
    <w:rsid w:val="00C70627"/>
    <w:rsid w:val="00C74403"/>
    <w:rsid w:val="00C7511D"/>
    <w:rsid w:val="00C770DE"/>
    <w:rsid w:val="00C77720"/>
    <w:rsid w:val="00C804DD"/>
    <w:rsid w:val="00C81A02"/>
    <w:rsid w:val="00C82985"/>
    <w:rsid w:val="00C82986"/>
    <w:rsid w:val="00C82E83"/>
    <w:rsid w:val="00C83615"/>
    <w:rsid w:val="00C8692F"/>
    <w:rsid w:val="00C86DA7"/>
    <w:rsid w:val="00C87F99"/>
    <w:rsid w:val="00C90116"/>
    <w:rsid w:val="00C91014"/>
    <w:rsid w:val="00C933F3"/>
    <w:rsid w:val="00C93A78"/>
    <w:rsid w:val="00C94AF0"/>
    <w:rsid w:val="00C94D2B"/>
    <w:rsid w:val="00C97FEF"/>
    <w:rsid w:val="00CA0411"/>
    <w:rsid w:val="00CA18C9"/>
    <w:rsid w:val="00CA2A92"/>
    <w:rsid w:val="00CA51FC"/>
    <w:rsid w:val="00CA5609"/>
    <w:rsid w:val="00CA5D93"/>
    <w:rsid w:val="00CB108C"/>
    <w:rsid w:val="00CB2036"/>
    <w:rsid w:val="00CB4509"/>
    <w:rsid w:val="00CB4D98"/>
    <w:rsid w:val="00CB793F"/>
    <w:rsid w:val="00CC0CAD"/>
    <w:rsid w:val="00CC11FA"/>
    <w:rsid w:val="00CC161F"/>
    <w:rsid w:val="00CC2DFD"/>
    <w:rsid w:val="00CC5D91"/>
    <w:rsid w:val="00CC6FA6"/>
    <w:rsid w:val="00CD04BF"/>
    <w:rsid w:val="00CD0C48"/>
    <w:rsid w:val="00CD1DAA"/>
    <w:rsid w:val="00CD4A37"/>
    <w:rsid w:val="00CE0BDE"/>
    <w:rsid w:val="00CE3137"/>
    <w:rsid w:val="00CE4ACE"/>
    <w:rsid w:val="00CE5566"/>
    <w:rsid w:val="00CE6804"/>
    <w:rsid w:val="00CF0E78"/>
    <w:rsid w:val="00CF212B"/>
    <w:rsid w:val="00CF3F65"/>
    <w:rsid w:val="00CF7126"/>
    <w:rsid w:val="00D00D26"/>
    <w:rsid w:val="00D0191C"/>
    <w:rsid w:val="00D01FE2"/>
    <w:rsid w:val="00D04379"/>
    <w:rsid w:val="00D05729"/>
    <w:rsid w:val="00D0717F"/>
    <w:rsid w:val="00D10D01"/>
    <w:rsid w:val="00D11E9E"/>
    <w:rsid w:val="00D12D55"/>
    <w:rsid w:val="00D148C3"/>
    <w:rsid w:val="00D14B8A"/>
    <w:rsid w:val="00D22159"/>
    <w:rsid w:val="00D229B2"/>
    <w:rsid w:val="00D22F16"/>
    <w:rsid w:val="00D24DA7"/>
    <w:rsid w:val="00D2586D"/>
    <w:rsid w:val="00D26D76"/>
    <w:rsid w:val="00D31EAB"/>
    <w:rsid w:val="00D32034"/>
    <w:rsid w:val="00D324AC"/>
    <w:rsid w:val="00D33048"/>
    <w:rsid w:val="00D33E83"/>
    <w:rsid w:val="00D35CF0"/>
    <w:rsid w:val="00D365BF"/>
    <w:rsid w:val="00D37821"/>
    <w:rsid w:val="00D407BE"/>
    <w:rsid w:val="00D40B5F"/>
    <w:rsid w:val="00D40E0D"/>
    <w:rsid w:val="00D41204"/>
    <w:rsid w:val="00D41EE6"/>
    <w:rsid w:val="00D43B9D"/>
    <w:rsid w:val="00D43C2F"/>
    <w:rsid w:val="00D4464B"/>
    <w:rsid w:val="00D4519C"/>
    <w:rsid w:val="00D45D15"/>
    <w:rsid w:val="00D45E93"/>
    <w:rsid w:val="00D47325"/>
    <w:rsid w:val="00D47528"/>
    <w:rsid w:val="00D47B32"/>
    <w:rsid w:val="00D50B45"/>
    <w:rsid w:val="00D51415"/>
    <w:rsid w:val="00D5297D"/>
    <w:rsid w:val="00D53ADC"/>
    <w:rsid w:val="00D5521E"/>
    <w:rsid w:val="00D55DE5"/>
    <w:rsid w:val="00D60330"/>
    <w:rsid w:val="00D621C7"/>
    <w:rsid w:val="00D625F5"/>
    <w:rsid w:val="00D65AD7"/>
    <w:rsid w:val="00D6621B"/>
    <w:rsid w:val="00D70410"/>
    <w:rsid w:val="00D721C7"/>
    <w:rsid w:val="00D76D77"/>
    <w:rsid w:val="00D76EB0"/>
    <w:rsid w:val="00D80BC9"/>
    <w:rsid w:val="00D81C5C"/>
    <w:rsid w:val="00D81F19"/>
    <w:rsid w:val="00D83918"/>
    <w:rsid w:val="00D857E5"/>
    <w:rsid w:val="00D85A31"/>
    <w:rsid w:val="00D85D01"/>
    <w:rsid w:val="00D870C9"/>
    <w:rsid w:val="00D9279E"/>
    <w:rsid w:val="00D92B19"/>
    <w:rsid w:val="00D9499F"/>
    <w:rsid w:val="00D94A23"/>
    <w:rsid w:val="00D958CB"/>
    <w:rsid w:val="00DA1FCE"/>
    <w:rsid w:val="00DA332F"/>
    <w:rsid w:val="00DA41D6"/>
    <w:rsid w:val="00DA46DE"/>
    <w:rsid w:val="00DA4AED"/>
    <w:rsid w:val="00DA75B2"/>
    <w:rsid w:val="00DA7F00"/>
    <w:rsid w:val="00DB112F"/>
    <w:rsid w:val="00DB1507"/>
    <w:rsid w:val="00DB151B"/>
    <w:rsid w:val="00DB2E3D"/>
    <w:rsid w:val="00DB3CF5"/>
    <w:rsid w:val="00DB5640"/>
    <w:rsid w:val="00DB7108"/>
    <w:rsid w:val="00DC2478"/>
    <w:rsid w:val="00DC39E4"/>
    <w:rsid w:val="00DC5AFA"/>
    <w:rsid w:val="00DC61E6"/>
    <w:rsid w:val="00DC7230"/>
    <w:rsid w:val="00DC7F16"/>
    <w:rsid w:val="00DD27FF"/>
    <w:rsid w:val="00DD5C68"/>
    <w:rsid w:val="00DD7E8B"/>
    <w:rsid w:val="00DE19B1"/>
    <w:rsid w:val="00DE2606"/>
    <w:rsid w:val="00DE307F"/>
    <w:rsid w:val="00DE5486"/>
    <w:rsid w:val="00DE7155"/>
    <w:rsid w:val="00DE7B49"/>
    <w:rsid w:val="00DF089C"/>
    <w:rsid w:val="00DF2D7F"/>
    <w:rsid w:val="00DF4786"/>
    <w:rsid w:val="00DF525D"/>
    <w:rsid w:val="00DF5690"/>
    <w:rsid w:val="00DF68C0"/>
    <w:rsid w:val="00E005DD"/>
    <w:rsid w:val="00E00E93"/>
    <w:rsid w:val="00E01497"/>
    <w:rsid w:val="00E01E23"/>
    <w:rsid w:val="00E04F4D"/>
    <w:rsid w:val="00E052FD"/>
    <w:rsid w:val="00E1043A"/>
    <w:rsid w:val="00E15DC0"/>
    <w:rsid w:val="00E170DF"/>
    <w:rsid w:val="00E17259"/>
    <w:rsid w:val="00E2102E"/>
    <w:rsid w:val="00E21DEF"/>
    <w:rsid w:val="00E24B09"/>
    <w:rsid w:val="00E2587E"/>
    <w:rsid w:val="00E2711A"/>
    <w:rsid w:val="00E3172C"/>
    <w:rsid w:val="00E31975"/>
    <w:rsid w:val="00E320B0"/>
    <w:rsid w:val="00E32236"/>
    <w:rsid w:val="00E323AD"/>
    <w:rsid w:val="00E33427"/>
    <w:rsid w:val="00E33D52"/>
    <w:rsid w:val="00E349DB"/>
    <w:rsid w:val="00E34B48"/>
    <w:rsid w:val="00E366C5"/>
    <w:rsid w:val="00E37CE2"/>
    <w:rsid w:val="00E40B05"/>
    <w:rsid w:val="00E479CD"/>
    <w:rsid w:val="00E479DE"/>
    <w:rsid w:val="00E512CD"/>
    <w:rsid w:val="00E51CC0"/>
    <w:rsid w:val="00E51DF1"/>
    <w:rsid w:val="00E524EB"/>
    <w:rsid w:val="00E5298F"/>
    <w:rsid w:val="00E536B8"/>
    <w:rsid w:val="00E567BC"/>
    <w:rsid w:val="00E56B87"/>
    <w:rsid w:val="00E578B8"/>
    <w:rsid w:val="00E622C0"/>
    <w:rsid w:val="00E64E78"/>
    <w:rsid w:val="00E65479"/>
    <w:rsid w:val="00E65887"/>
    <w:rsid w:val="00E66F03"/>
    <w:rsid w:val="00E70770"/>
    <w:rsid w:val="00E72561"/>
    <w:rsid w:val="00E73616"/>
    <w:rsid w:val="00E742CD"/>
    <w:rsid w:val="00E760C6"/>
    <w:rsid w:val="00E77DC0"/>
    <w:rsid w:val="00E80535"/>
    <w:rsid w:val="00E82269"/>
    <w:rsid w:val="00E8523B"/>
    <w:rsid w:val="00E87CEF"/>
    <w:rsid w:val="00E92341"/>
    <w:rsid w:val="00E97613"/>
    <w:rsid w:val="00EA1850"/>
    <w:rsid w:val="00EA3114"/>
    <w:rsid w:val="00EA4F38"/>
    <w:rsid w:val="00EA5452"/>
    <w:rsid w:val="00EA6065"/>
    <w:rsid w:val="00EA6683"/>
    <w:rsid w:val="00EB251C"/>
    <w:rsid w:val="00EB27A3"/>
    <w:rsid w:val="00EB3467"/>
    <w:rsid w:val="00EB381E"/>
    <w:rsid w:val="00EB41F8"/>
    <w:rsid w:val="00EB7C53"/>
    <w:rsid w:val="00EC11B4"/>
    <w:rsid w:val="00EC21D5"/>
    <w:rsid w:val="00EC2DD7"/>
    <w:rsid w:val="00EC349C"/>
    <w:rsid w:val="00EC3868"/>
    <w:rsid w:val="00EC4D86"/>
    <w:rsid w:val="00EC53AB"/>
    <w:rsid w:val="00EC5F0F"/>
    <w:rsid w:val="00EC66FA"/>
    <w:rsid w:val="00EC7757"/>
    <w:rsid w:val="00ED136B"/>
    <w:rsid w:val="00ED232A"/>
    <w:rsid w:val="00ED2D8F"/>
    <w:rsid w:val="00ED396D"/>
    <w:rsid w:val="00ED46CE"/>
    <w:rsid w:val="00ED48F5"/>
    <w:rsid w:val="00ED5298"/>
    <w:rsid w:val="00EE3120"/>
    <w:rsid w:val="00EE5C14"/>
    <w:rsid w:val="00EE7D05"/>
    <w:rsid w:val="00EF1D2C"/>
    <w:rsid w:val="00EF44E6"/>
    <w:rsid w:val="00EF4E80"/>
    <w:rsid w:val="00EF556F"/>
    <w:rsid w:val="00EF5899"/>
    <w:rsid w:val="00F003AE"/>
    <w:rsid w:val="00F00CA0"/>
    <w:rsid w:val="00F00CA6"/>
    <w:rsid w:val="00F03EAD"/>
    <w:rsid w:val="00F07025"/>
    <w:rsid w:val="00F10421"/>
    <w:rsid w:val="00F1190D"/>
    <w:rsid w:val="00F12C1D"/>
    <w:rsid w:val="00F13205"/>
    <w:rsid w:val="00F13363"/>
    <w:rsid w:val="00F13A03"/>
    <w:rsid w:val="00F13A40"/>
    <w:rsid w:val="00F14D9D"/>
    <w:rsid w:val="00F161AF"/>
    <w:rsid w:val="00F16219"/>
    <w:rsid w:val="00F21980"/>
    <w:rsid w:val="00F21B5B"/>
    <w:rsid w:val="00F23A9C"/>
    <w:rsid w:val="00F25CB3"/>
    <w:rsid w:val="00F32DFE"/>
    <w:rsid w:val="00F34B51"/>
    <w:rsid w:val="00F36F16"/>
    <w:rsid w:val="00F370A0"/>
    <w:rsid w:val="00F421E0"/>
    <w:rsid w:val="00F45AB9"/>
    <w:rsid w:val="00F46451"/>
    <w:rsid w:val="00F46851"/>
    <w:rsid w:val="00F531B3"/>
    <w:rsid w:val="00F53911"/>
    <w:rsid w:val="00F5401A"/>
    <w:rsid w:val="00F54F2B"/>
    <w:rsid w:val="00F5505F"/>
    <w:rsid w:val="00F553A1"/>
    <w:rsid w:val="00F5681A"/>
    <w:rsid w:val="00F57B62"/>
    <w:rsid w:val="00F60FD2"/>
    <w:rsid w:val="00F6376C"/>
    <w:rsid w:val="00F63EF0"/>
    <w:rsid w:val="00F64ACC"/>
    <w:rsid w:val="00F67B52"/>
    <w:rsid w:val="00F67F9A"/>
    <w:rsid w:val="00F706D7"/>
    <w:rsid w:val="00F7721F"/>
    <w:rsid w:val="00F812F9"/>
    <w:rsid w:val="00F813E3"/>
    <w:rsid w:val="00F8477B"/>
    <w:rsid w:val="00F84DBD"/>
    <w:rsid w:val="00F8517D"/>
    <w:rsid w:val="00F864AE"/>
    <w:rsid w:val="00F87A50"/>
    <w:rsid w:val="00F9030B"/>
    <w:rsid w:val="00F90597"/>
    <w:rsid w:val="00F9255D"/>
    <w:rsid w:val="00F9391F"/>
    <w:rsid w:val="00F95102"/>
    <w:rsid w:val="00FA0A79"/>
    <w:rsid w:val="00FA0CF8"/>
    <w:rsid w:val="00FA533C"/>
    <w:rsid w:val="00FA55F6"/>
    <w:rsid w:val="00FB13C1"/>
    <w:rsid w:val="00FB1E65"/>
    <w:rsid w:val="00FB26A7"/>
    <w:rsid w:val="00FB2F68"/>
    <w:rsid w:val="00FB31C1"/>
    <w:rsid w:val="00FB37F5"/>
    <w:rsid w:val="00FB4372"/>
    <w:rsid w:val="00FB486A"/>
    <w:rsid w:val="00FB5ABE"/>
    <w:rsid w:val="00FC3DE4"/>
    <w:rsid w:val="00FC3E24"/>
    <w:rsid w:val="00FC4CCE"/>
    <w:rsid w:val="00FC5190"/>
    <w:rsid w:val="00FC66A9"/>
    <w:rsid w:val="00FC7E39"/>
    <w:rsid w:val="00FD15DD"/>
    <w:rsid w:val="00FD516F"/>
    <w:rsid w:val="00FD7A78"/>
    <w:rsid w:val="00FE00BD"/>
    <w:rsid w:val="00FE0B8E"/>
    <w:rsid w:val="00FE1643"/>
    <w:rsid w:val="00FE1BFA"/>
    <w:rsid w:val="00FE2AF5"/>
    <w:rsid w:val="00FE3111"/>
    <w:rsid w:val="00FE4556"/>
    <w:rsid w:val="00FE4C0A"/>
    <w:rsid w:val="00FE5A4B"/>
    <w:rsid w:val="00FF32F1"/>
    <w:rsid w:val="00FF3BBF"/>
    <w:rsid w:val="00FF4768"/>
    <w:rsid w:val="00FF7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35E7C8"/>
  <w15:docId w15:val="{5B7C901B-9FE0-4D29-BDD9-7B005800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22"/>
    <w:pPr>
      <w:spacing w:line="290" w:lineRule="atLeast"/>
    </w:pPr>
    <w:rPr>
      <w:rFonts w:ascii="Georgia" w:hAnsi="Georgia"/>
      <w:sz w:val="21"/>
    </w:rPr>
  </w:style>
  <w:style w:type="paragraph" w:styleId="Rubrik1">
    <w:name w:val="heading 1"/>
    <w:basedOn w:val="Normal"/>
    <w:next w:val="Brdtext"/>
    <w:link w:val="Rubrik1Char"/>
    <w:qFormat/>
    <w:rsid w:val="008D63A9"/>
    <w:pPr>
      <w:keepNext/>
      <w:numPr>
        <w:numId w:val="3"/>
      </w:numPr>
      <w:spacing w:after="240" w:line="480" w:lineRule="atLeast"/>
      <w:outlineLvl w:val="0"/>
    </w:pPr>
    <w:rPr>
      <w:rFonts w:ascii="Verdana" w:hAnsi="Verdana"/>
      <w:b/>
      <w:kern w:val="28"/>
      <w:sz w:val="40"/>
    </w:rPr>
  </w:style>
  <w:style w:type="paragraph" w:styleId="Rubrik2">
    <w:name w:val="heading 2"/>
    <w:basedOn w:val="Normal"/>
    <w:next w:val="Brdtext"/>
    <w:qFormat/>
    <w:rsid w:val="002A0082"/>
    <w:pPr>
      <w:keepNext/>
      <w:numPr>
        <w:ilvl w:val="1"/>
        <w:numId w:val="3"/>
      </w:numPr>
      <w:spacing w:after="170" w:line="360" w:lineRule="atLeast"/>
      <w:outlineLvl w:val="1"/>
    </w:pPr>
    <w:rPr>
      <w:rFonts w:ascii="Verdana" w:hAnsi="Verdana"/>
      <w:b/>
      <w:sz w:val="28"/>
    </w:rPr>
  </w:style>
  <w:style w:type="paragraph" w:styleId="Rubrik3">
    <w:name w:val="heading 3"/>
    <w:basedOn w:val="Normal"/>
    <w:next w:val="Brdtext"/>
    <w:qFormat/>
    <w:rsid w:val="002A0082"/>
    <w:pPr>
      <w:keepNext/>
      <w:numPr>
        <w:ilvl w:val="2"/>
        <w:numId w:val="3"/>
      </w:numPr>
      <w:spacing w:before="170" w:after="113"/>
      <w:outlineLvl w:val="2"/>
    </w:pPr>
    <w:rPr>
      <w:rFonts w:ascii="Verdana" w:hAnsi="Verdana"/>
      <w:b/>
    </w:rPr>
  </w:style>
  <w:style w:type="paragraph" w:styleId="Rubrik4">
    <w:name w:val="heading 4"/>
    <w:basedOn w:val="Normal"/>
    <w:next w:val="Brdtext"/>
    <w:qFormat/>
    <w:rsid w:val="00D47B32"/>
    <w:pPr>
      <w:keepNext/>
      <w:spacing w:before="120"/>
      <w:outlineLvl w:val="3"/>
    </w:pPr>
    <w:rPr>
      <w:bCs/>
      <w:i/>
      <w:szCs w:val="28"/>
    </w:rPr>
  </w:style>
  <w:style w:type="paragraph" w:styleId="Rubrik5">
    <w:name w:val="heading 5"/>
    <w:basedOn w:val="Normal"/>
    <w:next w:val="Normal"/>
    <w:qFormat/>
    <w:rsid w:val="002721B5"/>
    <w:pPr>
      <w:spacing w:line="240" w:lineRule="auto"/>
      <w:outlineLvl w:val="4"/>
    </w:pPr>
    <w:rPr>
      <w:bCs/>
      <w:i/>
      <w:iCs/>
      <w:szCs w:val="26"/>
    </w:rPr>
  </w:style>
  <w:style w:type="paragraph" w:styleId="Rubrik6">
    <w:name w:val="heading 6"/>
    <w:basedOn w:val="Normal"/>
    <w:next w:val="Normal"/>
    <w:qFormat/>
    <w:rsid w:val="002721B5"/>
    <w:pPr>
      <w:spacing w:line="240" w:lineRule="auto"/>
      <w:outlineLvl w:val="5"/>
    </w:pPr>
    <w:rPr>
      <w:bCs/>
      <w:i/>
      <w:szCs w:val="22"/>
    </w:rPr>
  </w:style>
  <w:style w:type="paragraph" w:styleId="Rubrik7">
    <w:name w:val="heading 7"/>
    <w:basedOn w:val="Normal"/>
    <w:next w:val="Normal"/>
    <w:qFormat/>
    <w:rsid w:val="002721B5"/>
    <w:pPr>
      <w:spacing w:line="240" w:lineRule="auto"/>
      <w:outlineLvl w:val="6"/>
    </w:pPr>
    <w:rPr>
      <w:i/>
      <w:szCs w:val="24"/>
    </w:rPr>
  </w:style>
  <w:style w:type="paragraph" w:styleId="Rubrik8">
    <w:name w:val="heading 8"/>
    <w:basedOn w:val="Normal"/>
    <w:next w:val="Normal"/>
    <w:qFormat/>
    <w:rsid w:val="002721B5"/>
    <w:pPr>
      <w:spacing w:line="240" w:lineRule="auto"/>
      <w:outlineLvl w:val="7"/>
    </w:pPr>
    <w:rPr>
      <w:i/>
      <w:iCs/>
      <w:szCs w:val="24"/>
    </w:rPr>
  </w:style>
  <w:style w:type="paragraph" w:styleId="Rubrik9">
    <w:name w:val="heading 9"/>
    <w:basedOn w:val="Normal"/>
    <w:next w:val="Normal"/>
    <w:qFormat/>
    <w:rsid w:val="002721B5"/>
    <w:pPr>
      <w:spacing w:line="240" w:lineRule="auto"/>
      <w:outlineLvl w:val="8"/>
    </w:pPr>
    <w:rPr>
      <w:rFonts w:cs="Arial"/>
      <w:i/>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3E0722"/>
    <w:pPr>
      <w:spacing w:after="170"/>
    </w:pPr>
  </w:style>
  <w:style w:type="paragraph" w:styleId="Numreradlista">
    <w:name w:val="List Number"/>
    <w:basedOn w:val="Normal"/>
    <w:rsid w:val="00D47B32"/>
    <w:pPr>
      <w:numPr>
        <w:numId w:val="1"/>
      </w:numPr>
      <w:spacing w:after="60"/>
    </w:pPr>
  </w:style>
  <w:style w:type="paragraph" w:styleId="Punktlista">
    <w:name w:val="List Bullet"/>
    <w:basedOn w:val="Normal"/>
    <w:rsid w:val="00D47B32"/>
    <w:pPr>
      <w:numPr>
        <w:numId w:val="2"/>
      </w:numPr>
      <w:spacing w:after="60"/>
    </w:pPr>
  </w:style>
  <w:style w:type="paragraph" w:customStyle="1" w:styleId="Rubrikitabell">
    <w:name w:val="Rubrik i tabell"/>
    <w:basedOn w:val="Normal"/>
    <w:rsid w:val="009A1824"/>
    <w:pPr>
      <w:keepNext/>
      <w:spacing w:before="60" w:after="60" w:line="240" w:lineRule="auto"/>
    </w:pPr>
    <w:rPr>
      <w:rFonts w:ascii="Verdana" w:hAnsi="Verdana"/>
      <w:b/>
      <w:sz w:val="18"/>
    </w:rPr>
  </w:style>
  <w:style w:type="paragraph" w:customStyle="1" w:styleId="Titel1">
    <w:name w:val="Titel1"/>
    <w:basedOn w:val="Normal"/>
    <w:rsid w:val="00FA0A79"/>
    <w:pPr>
      <w:spacing w:after="340" w:line="560" w:lineRule="atLeast"/>
    </w:pPr>
    <w:rPr>
      <w:rFonts w:ascii="Verdana" w:hAnsi="Verdana"/>
      <w:b/>
      <w:sz w:val="48"/>
    </w:rPr>
  </w:style>
  <w:style w:type="table" w:styleId="Tabellrutnt">
    <w:name w:val="Table Grid"/>
    <w:basedOn w:val="Normaltabell"/>
    <w:rsid w:val="004C38BA"/>
    <w:pPr>
      <w:spacing w:line="240" w:lineRule="atLeast"/>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Normal"/>
    <w:rsid w:val="00FA0A79"/>
    <w:pPr>
      <w:spacing w:before="240" w:line="360" w:lineRule="atLeast"/>
    </w:pPr>
    <w:rPr>
      <w:rFonts w:ascii="Verdana" w:hAnsi="Verdana"/>
      <w:sz w:val="32"/>
    </w:rPr>
  </w:style>
  <w:style w:type="paragraph" w:styleId="Sidhuvud">
    <w:name w:val="header"/>
    <w:basedOn w:val="Normal"/>
    <w:rsid w:val="008D074B"/>
    <w:pPr>
      <w:pBdr>
        <w:bottom w:val="single" w:sz="4" w:space="1" w:color="auto"/>
      </w:pBdr>
      <w:tabs>
        <w:tab w:val="center" w:pos="4536"/>
        <w:tab w:val="right" w:pos="9072"/>
      </w:tabs>
      <w:spacing w:line="240" w:lineRule="atLeast"/>
      <w:jc w:val="right"/>
    </w:pPr>
    <w:rPr>
      <w:rFonts w:ascii="Verdana" w:hAnsi="Verdana"/>
      <w:b/>
      <w:sz w:val="18"/>
    </w:rPr>
  </w:style>
  <w:style w:type="paragraph" w:styleId="Sidfot">
    <w:name w:val="footer"/>
    <w:basedOn w:val="Normal"/>
    <w:rsid w:val="008D074B"/>
    <w:pPr>
      <w:tabs>
        <w:tab w:val="center" w:pos="4536"/>
        <w:tab w:val="right" w:pos="9072"/>
      </w:tabs>
    </w:pPr>
  </w:style>
  <w:style w:type="character" w:styleId="Sidnummer">
    <w:name w:val="page number"/>
    <w:basedOn w:val="Standardstycketeckensnitt"/>
    <w:rsid w:val="008D074B"/>
  </w:style>
  <w:style w:type="character" w:styleId="Hyperlnk">
    <w:name w:val="Hyperlink"/>
    <w:basedOn w:val="Standardstycketeckensnitt"/>
    <w:uiPriority w:val="99"/>
    <w:rsid w:val="008D074B"/>
    <w:rPr>
      <w:color w:val="0000FF"/>
      <w:u w:val="single"/>
    </w:rPr>
  </w:style>
  <w:style w:type="paragraph" w:styleId="Innehll1">
    <w:name w:val="toc 1"/>
    <w:basedOn w:val="Normal"/>
    <w:next w:val="Normal"/>
    <w:uiPriority w:val="39"/>
    <w:rsid w:val="008D074B"/>
    <w:pPr>
      <w:tabs>
        <w:tab w:val="left" w:pos="284"/>
        <w:tab w:val="right" w:leader="dot" w:pos="7371"/>
      </w:tabs>
      <w:spacing w:line="360" w:lineRule="atLeast"/>
    </w:pPr>
    <w:rPr>
      <w:rFonts w:ascii="Verdana" w:hAnsi="Verdana"/>
      <w:b/>
      <w:sz w:val="20"/>
    </w:rPr>
  </w:style>
  <w:style w:type="paragraph" w:styleId="Innehll2">
    <w:name w:val="toc 2"/>
    <w:basedOn w:val="Normal"/>
    <w:next w:val="Normal"/>
    <w:uiPriority w:val="39"/>
    <w:rsid w:val="008D074B"/>
    <w:pPr>
      <w:tabs>
        <w:tab w:val="left" w:pos="737"/>
        <w:tab w:val="right" w:leader="dot" w:pos="7371"/>
      </w:tabs>
      <w:spacing w:line="320" w:lineRule="atLeast"/>
      <w:ind w:left="284"/>
    </w:pPr>
    <w:rPr>
      <w:rFonts w:ascii="Verdana" w:hAnsi="Verdana"/>
      <w:sz w:val="20"/>
    </w:rPr>
  </w:style>
  <w:style w:type="paragraph" w:styleId="Innehll3">
    <w:name w:val="toc 3"/>
    <w:basedOn w:val="Normal"/>
    <w:next w:val="Normal"/>
    <w:uiPriority w:val="39"/>
    <w:rsid w:val="008D074B"/>
    <w:pPr>
      <w:tabs>
        <w:tab w:val="left" w:pos="1247"/>
        <w:tab w:val="right" w:leader="dot" w:pos="7371"/>
      </w:tabs>
      <w:spacing w:line="320" w:lineRule="atLeast"/>
      <w:ind w:left="737"/>
    </w:pPr>
    <w:rPr>
      <w:sz w:val="20"/>
    </w:rPr>
  </w:style>
  <w:style w:type="paragraph" w:customStyle="1" w:styleId="Rubrikfre">
    <w:name w:val="Rubrik före"/>
    <w:basedOn w:val="Rubrik1"/>
    <w:next w:val="Brdtext"/>
    <w:rsid w:val="00FA0A79"/>
    <w:pPr>
      <w:pageBreakBefore/>
      <w:numPr>
        <w:numId w:val="0"/>
      </w:numPr>
    </w:pPr>
  </w:style>
  <w:style w:type="paragraph" w:customStyle="1" w:styleId="Bildrubrik">
    <w:name w:val="Bildrubrik"/>
    <w:basedOn w:val="Normal"/>
    <w:next w:val="Bildtext"/>
    <w:rsid w:val="00C30F7D"/>
    <w:pPr>
      <w:spacing w:before="120" w:line="240" w:lineRule="atLeast"/>
      <w:ind w:left="170" w:right="170"/>
    </w:pPr>
    <w:rPr>
      <w:rFonts w:ascii="Verdana" w:hAnsi="Verdana"/>
      <w:b/>
      <w:sz w:val="16"/>
    </w:rPr>
  </w:style>
  <w:style w:type="paragraph" w:customStyle="1" w:styleId="Numrrubrik2">
    <w:name w:val="Numr rubrik 2"/>
    <w:basedOn w:val="Normal"/>
    <w:rsid w:val="002A0082"/>
  </w:style>
  <w:style w:type="paragraph" w:customStyle="1" w:styleId="Bildtext">
    <w:name w:val="Bildtext"/>
    <w:basedOn w:val="Bildrubrik"/>
    <w:rsid w:val="00C30F7D"/>
    <w:pPr>
      <w:spacing w:before="0"/>
    </w:pPr>
    <w:rPr>
      <w:b w:val="0"/>
    </w:rPr>
  </w:style>
  <w:style w:type="paragraph" w:customStyle="1" w:styleId="Rubrikbilaga">
    <w:name w:val="Rubrik bilaga"/>
    <w:basedOn w:val="Normal"/>
    <w:next w:val="Brdtext"/>
    <w:rsid w:val="00D621C7"/>
    <w:pPr>
      <w:pageBreakBefore/>
      <w:spacing w:after="170" w:line="360" w:lineRule="atLeast"/>
    </w:pPr>
    <w:rPr>
      <w:rFonts w:ascii="Verdana" w:hAnsi="Verdana"/>
      <w:b/>
      <w:sz w:val="28"/>
    </w:rPr>
  </w:style>
  <w:style w:type="paragraph" w:customStyle="1" w:styleId="Tabelltext">
    <w:name w:val="Tabelltext"/>
    <w:basedOn w:val="Rubrikitabell"/>
    <w:rsid w:val="009A1824"/>
    <w:pPr>
      <w:keepNext w:val="0"/>
    </w:pPr>
    <w:rPr>
      <w:b w:val="0"/>
      <w:szCs w:val="18"/>
    </w:rPr>
  </w:style>
  <w:style w:type="paragraph" w:customStyle="1" w:styleId="Smal">
    <w:name w:val="Smal"/>
    <w:basedOn w:val="Normal"/>
    <w:rsid w:val="00E82269"/>
    <w:pPr>
      <w:spacing w:line="240" w:lineRule="auto"/>
    </w:pPr>
    <w:rPr>
      <w:sz w:val="2"/>
      <w:szCs w:val="2"/>
    </w:rPr>
  </w:style>
  <w:style w:type="paragraph" w:styleId="Innehll4">
    <w:name w:val="toc 4"/>
    <w:basedOn w:val="Normal"/>
    <w:next w:val="Normal"/>
    <w:semiHidden/>
    <w:rsid w:val="008839ED"/>
    <w:pPr>
      <w:tabs>
        <w:tab w:val="left" w:pos="284"/>
        <w:tab w:val="right" w:leader="dot" w:pos="7371"/>
      </w:tabs>
      <w:spacing w:before="200" w:line="360" w:lineRule="atLeast"/>
    </w:pPr>
    <w:rPr>
      <w:rFonts w:ascii="Verdana" w:hAnsi="Verdana"/>
      <w:b/>
      <w:sz w:val="20"/>
    </w:rPr>
  </w:style>
  <w:style w:type="paragraph" w:customStyle="1" w:styleId="Dokumentrubrik">
    <w:name w:val="Dokumentrubrik"/>
    <w:basedOn w:val="Normal"/>
    <w:rsid w:val="00FA0A79"/>
    <w:rPr>
      <w:rFonts w:ascii="Verdana" w:hAnsi="Verdana"/>
      <w:b/>
      <w:sz w:val="24"/>
    </w:rPr>
  </w:style>
  <w:style w:type="paragraph" w:customStyle="1" w:styleId="Ledtext">
    <w:name w:val="Ledtext"/>
    <w:basedOn w:val="Normal"/>
    <w:next w:val="Flttext"/>
    <w:rsid w:val="00FA0A79"/>
    <w:pPr>
      <w:spacing w:before="40" w:line="240" w:lineRule="auto"/>
    </w:pPr>
    <w:rPr>
      <w:sz w:val="18"/>
    </w:rPr>
  </w:style>
  <w:style w:type="paragraph" w:customStyle="1" w:styleId="Sidnumrering">
    <w:name w:val="Sidnumrering"/>
    <w:basedOn w:val="Normal"/>
    <w:rsid w:val="00FA0A79"/>
    <w:pPr>
      <w:jc w:val="right"/>
    </w:pPr>
    <w:rPr>
      <w:sz w:val="20"/>
    </w:rPr>
  </w:style>
  <w:style w:type="paragraph" w:customStyle="1" w:styleId="Flttext">
    <w:name w:val="Fälttext"/>
    <w:basedOn w:val="Normal"/>
    <w:rsid w:val="00FA0A79"/>
    <w:pPr>
      <w:spacing w:before="20" w:line="240" w:lineRule="auto"/>
    </w:pPr>
    <w:rPr>
      <w:snapToGrid w:val="0"/>
    </w:rPr>
  </w:style>
  <w:style w:type="paragraph" w:styleId="Ballongtext">
    <w:name w:val="Balloon Text"/>
    <w:basedOn w:val="Normal"/>
    <w:link w:val="BallongtextChar"/>
    <w:rsid w:val="00435B8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35B8F"/>
    <w:rPr>
      <w:rFonts w:ascii="Tahoma" w:hAnsi="Tahoma" w:cs="Tahoma"/>
      <w:sz w:val="16"/>
      <w:szCs w:val="16"/>
    </w:rPr>
  </w:style>
  <w:style w:type="paragraph" w:styleId="Fotnotstext">
    <w:name w:val="footnote text"/>
    <w:basedOn w:val="Normal"/>
    <w:link w:val="FotnotstextChar"/>
    <w:rsid w:val="000A456B"/>
    <w:pPr>
      <w:spacing w:line="240" w:lineRule="auto"/>
    </w:pPr>
    <w:rPr>
      <w:sz w:val="20"/>
    </w:rPr>
  </w:style>
  <w:style w:type="character" w:customStyle="1" w:styleId="FotnotstextChar">
    <w:name w:val="Fotnotstext Char"/>
    <w:basedOn w:val="Standardstycketeckensnitt"/>
    <w:link w:val="Fotnotstext"/>
    <w:rsid w:val="000A456B"/>
    <w:rPr>
      <w:rFonts w:ascii="Georgia" w:hAnsi="Georgia"/>
    </w:rPr>
  </w:style>
  <w:style w:type="character" w:styleId="Fotnotsreferens">
    <w:name w:val="footnote reference"/>
    <w:basedOn w:val="Standardstycketeckensnitt"/>
    <w:rsid w:val="000A456B"/>
    <w:rPr>
      <w:vertAlign w:val="superscript"/>
    </w:rPr>
  </w:style>
  <w:style w:type="character" w:styleId="Kommentarsreferens">
    <w:name w:val="annotation reference"/>
    <w:basedOn w:val="Standardstycketeckensnitt"/>
    <w:rsid w:val="00864216"/>
    <w:rPr>
      <w:sz w:val="16"/>
      <w:szCs w:val="16"/>
    </w:rPr>
  </w:style>
  <w:style w:type="paragraph" w:styleId="Kommentarer">
    <w:name w:val="annotation text"/>
    <w:basedOn w:val="Normal"/>
    <w:link w:val="KommentarerChar"/>
    <w:uiPriority w:val="99"/>
    <w:rsid w:val="00864216"/>
    <w:pPr>
      <w:spacing w:line="240" w:lineRule="auto"/>
    </w:pPr>
    <w:rPr>
      <w:sz w:val="20"/>
    </w:rPr>
  </w:style>
  <w:style w:type="character" w:customStyle="1" w:styleId="KommentarerChar">
    <w:name w:val="Kommentarer Char"/>
    <w:basedOn w:val="Standardstycketeckensnitt"/>
    <w:link w:val="Kommentarer"/>
    <w:uiPriority w:val="99"/>
    <w:rsid w:val="00864216"/>
    <w:rPr>
      <w:rFonts w:ascii="Georgia" w:hAnsi="Georgia"/>
    </w:rPr>
  </w:style>
  <w:style w:type="paragraph" w:styleId="Kommentarsmne">
    <w:name w:val="annotation subject"/>
    <w:basedOn w:val="Kommentarer"/>
    <w:next w:val="Kommentarer"/>
    <w:link w:val="KommentarsmneChar"/>
    <w:rsid w:val="00864216"/>
    <w:rPr>
      <w:b/>
      <w:bCs/>
    </w:rPr>
  </w:style>
  <w:style w:type="character" w:customStyle="1" w:styleId="KommentarsmneChar">
    <w:name w:val="Kommentarsämne Char"/>
    <w:basedOn w:val="KommentarerChar"/>
    <w:link w:val="Kommentarsmne"/>
    <w:rsid w:val="00864216"/>
    <w:rPr>
      <w:rFonts w:ascii="Georgia" w:hAnsi="Georgia"/>
      <w:b/>
      <w:bCs/>
    </w:rPr>
  </w:style>
  <w:style w:type="paragraph" w:styleId="Liststycke">
    <w:name w:val="List Paragraph"/>
    <w:basedOn w:val="Normal"/>
    <w:uiPriority w:val="34"/>
    <w:qFormat/>
    <w:rsid w:val="00B6773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rdtextChar">
    <w:name w:val="Brödtext Char"/>
    <w:basedOn w:val="Standardstycketeckensnitt"/>
    <w:link w:val="Brdtext"/>
    <w:rsid w:val="00B6773C"/>
    <w:rPr>
      <w:rFonts w:ascii="Georgia" w:hAnsi="Georgia"/>
      <w:sz w:val="21"/>
    </w:rPr>
  </w:style>
  <w:style w:type="character" w:styleId="AnvndHyperlnk">
    <w:name w:val="FollowedHyperlink"/>
    <w:basedOn w:val="Standardstycketeckensnitt"/>
    <w:rsid w:val="00610A73"/>
    <w:rPr>
      <w:color w:val="800080" w:themeColor="followedHyperlink"/>
      <w:u w:val="single"/>
    </w:rPr>
  </w:style>
  <w:style w:type="paragraph" w:customStyle="1" w:styleId="Default">
    <w:name w:val="Default"/>
    <w:rsid w:val="00E24B09"/>
    <w:pPr>
      <w:autoSpaceDE w:val="0"/>
      <w:autoSpaceDN w:val="0"/>
      <w:adjustRightInd w:val="0"/>
    </w:pPr>
    <w:rPr>
      <w:rFonts w:ascii="Georgia" w:hAnsi="Georgia" w:cs="Georgia"/>
      <w:color w:val="000000"/>
      <w:sz w:val="24"/>
      <w:szCs w:val="24"/>
    </w:rPr>
  </w:style>
  <w:style w:type="paragraph" w:styleId="Revision">
    <w:name w:val="Revision"/>
    <w:hidden/>
    <w:uiPriority w:val="99"/>
    <w:semiHidden/>
    <w:rsid w:val="00205B7B"/>
    <w:rPr>
      <w:rFonts w:ascii="Georgia" w:hAnsi="Georgia"/>
      <w:sz w:val="21"/>
    </w:rPr>
  </w:style>
  <w:style w:type="paragraph" w:customStyle="1" w:styleId="Pa1">
    <w:name w:val="Pa1"/>
    <w:basedOn w:val="Normal"/>
    <w:next w:val="Normal"/>
    <w:uiPriority w:val="99"/>
    <w:rsid w:val="00AA34FF"/>
    <w:pPr>
      <w:autoSpaceDE w:val="0"/>
      <w:autoSpaceDN w:val="0"/>
      <w:adjustRightInd w:val="0"/>
      <w:spacing w:line="197" w:lineRule="atLeast"/>
    </w:pPr>
    <w:rPr>
      <w:rFonts w:ascii="Berling Nova Text Pro" w:eastAsiaTheme="minorHAnsi" w:hAnsi="Berling Nova Text Pro" w:cstheme="minorBidi"/>
      <w:sz w:val="24"/>
      <w:szCs w:val="24"/>
      <w:lang w:eastAsia="en-US"/>
    </w:rPr>
  </w:style>
  <w:style w:type="paragraph" w:customStyle="1" w:styleId="Punktlista1">
    <w:name w:val="Punktlista  1"/>
    <w:basedOn w:val="Normal"/>
    <w:next w:val="Brdtext"/>
    <w:rsid w:val="00222AB3"/>
    <w:pPr>
      <w:numPr>
        <w:numId w:val="38"/>
      </w:numPr>
      <w:spacing w:line="260" w:lineRule="atLeast"/>
    </w:pPr>
    <w:rPr>
      <w:rFonts w:ascii="Arial" w:hAnsi="Arial" w:cs="Arial"/>
      <w:sz w:val="20"/>
      <w:szCs w:val="24"/>
      <w:lang w:val="en-GB" w:eastAsia="en-US"/>
    </w:rPr>
  </w:style>
  <w:style w:type="paragraph" w:customStyle="1" w:styleId="Punktlista2">
    <w:name w:val="Punktlista  2"/>
    <w:basedOn w:val="Normal"/>
    <w:next w:val="Brdtext"/>
    <w:rsid w:val="00222AB3"/>
    <w:pPr>
      <w:numPr>
        <w:ilvl w:val="1"/>
        <w:numId w:val="38"/>
      </w:numPr>
      <w:spacing w:line="260" w:lineRule="atLeast"/>
    </w:pPr>
    <w:rPr>
      <w:rFonts w:ascii="Arial" w:hAnsi="Arial" w:cs="Arial"/>
      <w:sz w:val="20"/>
      <w:szCs w:val="24"/>
      <w:lang w:val="en-GB" w:eastAsia="en-US"/>
    </w:rPr>
  </w:style>
  <w:style w:type="paragraph" w:customStyle="1" w:styleId="Punktlista3">
    <w:name w:val="Punktlista  3"/>
    <w:basedOn w:val="Normal"/>
    <w:next w:val="Brdtext"/>
    <w:rsid w:val="00222AB3"/>
    <w:pPr>
      <w:numPr>
        <w:ilvl w:val="2"/>
        <w:numId w:val="38"/>
      </w:numPr>
      <w:spacing w:line="260" w:lineRule="atLeast"/>
      <w:ind w:left="2376"/>
    </w:pPr>
    <w:rPr>
      <w:rFonts w:ascii="Arial" w:hAnsi="Arial" w:cs="Arial"/>
      <w:sz w:val="20"/>
      <w:szCs w:val="24"/>
      <w:lang w:val="en-GB" w:eastAsia="en-US"/>
    </w:rPr>
  </w:style>
  <w:style w:type="paragraph" w:customStyle="1" w:styleId="Normalefterlista">
    <w:name w:val="Normal efter lista"/>
    <w:next w:val="Normal"/>
    <w:semiHidden/>
    <w:rsid w:val="008B3C4C"/>
    <w:pPr>
      <w:numPr>
        <w:numId w:val="42"/>
      </w:numPr>
      <w:spacing w:before="120" w:after="160" w:line="259" w:lineRule="auto"/>
    </w:pPr>
    <w:rPr>
      <w:rFonts w:asciiTheme="minorHAnsi" w:eastAsiaTheme="minorHAnsi" w:hAnsiTheme="minorHAnsi" w:cstheme="minorBidi"/>
      <w:sz w:val="23"/>
      <w:szCs w:val="23"/>
      <w:lang w:eastAsia="en-US"/>
    </w:rPr>
  </w:style>
  <w:style w:type="numbering" w:customStyle="1" w:styleId="Listformatnumreradlista">
    <w:name w:val="Listformat numreradlista"/>
    <w:uiPriority w:val="99"/>
    <w:rsid w:val="008B3C4C"/>
    <w:pPr>
      <w:numPr>
        <w:numId w:val="41"/>
      </w:numPr>
    </w:pPr>
  </w:style>
  <w:style w:type="paragraph" w:styleId="Lista">
    <w:name w:val="List"/>
    <w:basedOn w:val="Normal"/>
    <w:uiPriority w:val="99"/>
    <w:qFormat/>
    <w:rsid w:val="008B3C4C"/>
    <w:pPr>
      <w:numPr>
        <w:ilvl w:val="1"/>
        <w:numId w:val="42"/>
      </w:numPr>
      <w:spacing w:line="259" w:lineRule="auto"/>
      <w:contextualSpacing/>
    </w:pPr>
    <w:rPr>
      <w:rFonts w:asciiTheme="minorHAnsi" w:eastAsiaTheme="minorHAnsi" w:hAnsiTheme="minorHAnsi" w:cstheme="minorBidi"/>
      <w:sz w:val="23"/>
      <w:szCs w:val="23"/>
      <w:lang w:eastAsia="en-US"/>
    </w:rPr>
  </w:style>
  <w:style w:type="paragraph" w:styleId="Lista2">
    <w:name w:val="List 2"/>
    <w:basedOn w:val="Normal"/>
    <w:uiPriority w:val="99"/>
    <w:rsid w:val="008B3C4C"/>
    <w:pPr>
      <w:numPr>
        <w:ilvl w:val="2"/>
        <w:numId w:val="42"/>
      </w:numPr>
      <w:spacing w:line="259" w:lineRule="auto"/>
      <w:contextualSpacing/>
    </w:pPr>
    <w:rPr>
      <w:rFonts w:asciiTheme="minorHAnsi" w:eastAsiaTheme="minorHAnsi" w:hAnsiTheme="minorHAnsi" w:cstheme="minorBidi"/>
      <w:sz w:val="23"/>
      <w:szCs w:val="23"/>
      <w:lang w:eastAsia="en-US"/>
    </w:rPr>
  </w:style>
  <w:style w:type="paragraph" w:styleId="Lista3">
    <w:name w:val="List 3"/>
    <w:basedOn w:val="Normal"/>
    <w:uiPriority w:val="99"/>
    <w:rsid w:val="008B3C4C"/>
    <w:pPr>
      <w:numPr>
        <w:ilvl w:val="3"/>
        <w:numId w:val="42"/>
      </w:numPr>
      <w:spacing w:line="259" w:lineRule="auto"/>
      <w:contextualSpacing/>
    </w:pPr>
    <w:rPr>
      <w:rFonts w:asciiTheme="minorHAnsi" w:eastAsiaTheme="minorHAnsi" w:hAnsiTheme="minorHAnsi" w:cstheme="minorBidi"/>
      <w:sz w:val="23"/>
      <w:szCs w:val="23"/>
      <w:lang w:eastAsia="en-US"/>
    </w:rPr>
  </w:style>
  <w:style w:type="character" w:styleId="Betoning">
    <w:name w:val="Emphasis"/>
    <w:basedOn w:val="Standardstycketeckensnitt"/>
    <w:uiPriority w:val="20"/>
    <w:qFormat/>
    <w:rsid w:val="00033A08"/>
    <w:rPr>
      <w:i/>
      <w:iCs/>
    </w:rPr>
  </w:style>
  <w:style w:type="character" w:customStyle="1" w:styleId="Rubrik1Char">
    <w:name w:val="Rubrik 1 Char"/>
    <w:basedOn w:val="Standardstycketeckensnitt"/>
    <w:link w:val="Rubrik1"/>
    <w:rsid w:val="000608D5"/>
    <w:rPr>
      <w:rFonts w:ascii="Verdana" w:hAnsi="Verdana"/>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005">
      <w:bodyDiv w:val="1"/>
      <w:marLeft w:val="0"/>
      <w:marRight w:val="0"/>
      <w:marTop w:val="0"/>
      <w:marBottom w:val="0"/>
      <w:divBdr>
        <w:top w:val="none" w:sz="0" w:space="0" w:color="auto"/>
        <w:left w:val="none" w:sz="0" w:space="0" w:color="auto"/>
        <w:bottom w:val="none" w:sz="0" w:space="0" w:color="auto"/>
        <w:right w:val="none" w:sz="0" w:space="0" w:color="auto"/>
      </w:divBdr>
    </w:div>
    <w:div w:id="63378439">
      <w:bodyDiv w:val="1"/>
      <w:marLeft w:val="0"/>
      <w:marRight w:val="0"/>
      <w:marTop w:val="0"/>
      <w:marBottom w:val="0"/>
      <w:divBdr>
        <w:top w:val="none" w:sz="0" w:space="0" w:color="auto"/>
        <w:left w:val="none" w:sz="0" w:space="0" w:color="auto"/>
        <w:bottom w:val="none" w:sz="0" w:space="0" w:color="auto"/>
        <w:right w:val="none" w:sz="0" w:space="0" w:color="auto"/>
      </w:divBdr>
    </w:div>
    <w:div w:id="72820597">
      <w:bodyDiv w:val="1"/>
      <w:marLeft w:val="0"/>
      <w:marRight w:val="0"/>
      <w:marTop w:val="0"/>
      <w:marBottom w:val="0"/>
      <w:divBdr>
        <w:top w:val="none" w:sz="0" w:space="0" w:color="auto"/>
        <w:left w:val="none" w:sz="0" w:space="0" w:color="auto"/>
        <w:bottom w:val="none" w:sz="0" w:space="0" w:color="auto"/>
        <w:right w:val="none" w:sz="0" w:space="0" w:color="auto"/>
      </w:divBdr>
    </w:div>
    <w:div w:id="74716008">
      <w:bodyDiv w:val="1"/>
      <w:marLeft w:val="0"/>
      <w:marRight w:val="0"/>
      <w:marTop w:val="0"/>
      <w:marBottom w:val="0"/>
      <w:divBdr>
        <w:top w:val="none" w:sz="0" w:space="0" w:color="auto"/>
        <w:left w:val="none" w:sz="0" w:space="0" w:color="auto"/>
        <w:bottom w:val="none" w:sz="0" w:space="0" w:color="auto"/>
        <w:right w:val="none" w:sz="0" w:space="0" w:color="auto"/>
      </w:divBdr>
      <w:divsChild>
        <w:div w:id="1648508779">
          <w:marLeft w:val="547"/>
          <w:marRight w:val="0"/>
          <w:marTop w:val="120"/>
          <w:marBottom w:val="0"/>
          <w:divBdr>
            <w:top w:val="none" w:sz="0" w:space="0" w:color="auto"/>
            <w:left w:val="none" w:sz="0" w:space="0" w:color="auto"/>
            <w:bottom w:val="none" w:sz="0" w:space="0" w:color="auto"/>
            <w:right w:val="none" w:sz="0" w:space="0" w:color="auto"/>
          </w:divBdr>
        </w:div>
      </w:divsChild>
    </w:div>
    <w:div w:id="135267622">
      <w:bodyDiv w:val="1"/>
      <w:marLeft w:val="0"/>
      <w:marRight w:val="0"/>
      <w:marTop w:val="0"/>
      <w:marBottom w:val="0"/>
      <w:divBdr>
        <w:top w:val="none" w:sz="0" w:space="0" w:color="auto"/>
        <w:left w:val="none" w:sz="0" w:space="0" w:color="auto"/>
        <w:bottom w:val="none" w:sz="0" w:space="0" w:color="auto"/>
        <w:right w:val="none" w:sz="0" w:space="0" w:color="auto"/>
      </w:divBdr>
    </w:div>
    <w:div w:id="257064164">
      <w:bodyDiv w:val="1"/>
      <w:marLeft w:val="0"/>
      <w:marRight w:val="0"/>
      <w:marTop w:val="0"/>
      <w:marBottom w:val="0"/>
      <w:divBdr>
        <w:top w:val="none" w:sz="0" w:space="0" w:color="auto"/>
        <w:left w:val="none" w:sz="0" w:space="0" w:color="auto"/>
        <w:bottom w:val="none" w:sz="0" w:space="0" w:color="auto"/>
        <w:right w:val="none" w:sz="0" w:space="0" w:color="auto"/>
      </w:divBdr>
    </w:div>
    <w:div w:id="350960118">
      <w:bodyDiv w:val="1"/>
      <w:marLeft w:val="0"/>
      <w:marRight w:val="0"/>
      <w:marTop w:val="0"/>
      <w:marBottom w:val="0"/>
      <w:divBdr>
        <w:top w:val="none" w:sz="0" w:space="0" w:color="auto"/>
        <w:left w:val="none" w:sz="0" w:space="0" w:color="auto"/>
        <w:bottom w:val="none" w:sz="0" w:space="0" w:color="auto"/>
        <w:right w:val="none" w:sz="0" w:space="0" w:color="auto"/>
      </w:divBdr>
    </w:div>
    <w:div w:id="367798103">
      <w:bodyDiv w:val="1"/>
      <w:marLeft w:val="0"/>
      <w:marRight w:val="0"/>
      <w:marTop w:val="0"/>
      <w:marBottom w:val="0"/>
      <w:divBdr>
        <w:top w:val="none" w:sz="0" w:space="0" w:color="auto"/>
        <w:left w:val="none" w:sz="0" w:space="0" w:color="auto"/>
        <w:bottom w:val="none" w:sz="0" w:space="0" w:color="auto"/>
        <w:right w:val="none" w:sz="0" w:space="0" w:color="auto"/>
      </w:divBdr>
    </w:div>
    <w:div w:id="411047196">
      <w:bodyDiv w:val="1"/>
      <w:marLeft w:val="0"/>
      <w:marRight w:val="0"/>
      <w:marTop w:val="0"/>
      <w:marBottom w:val="0"/>
      <w:divBdr>
        <w:top w:val="none" w:sz="0" w:space="0" w:color="auto"/>
        <w:left w:val="none" w:sz="0" w:space="0" w:color="auto"/>
        <w:bottom w:val="none" w:sz="0" w:space="0" w:color="auto"/>
        <w:right w:val="none" w:sz="0" w:space="0" w:color="auto"/>
      </w:divBdr>
    </w:div>
    <w:div w:id="597644892">
      <w:bodyDiv w:val="1"/>
      <w:marLeft w:val="0"/>
      <w:marRight w:val="0"/>
      <w:marTop w:val="0"/>
      <w:marBottom w:val="0"/>
      <w:divBdr>
        <w:top w:val="none" w:sz="0" w:space="0" w:color="auto"/>
        <w:left w:val="none" w:sz="0" w:space="0" w:color="auto"/>
        <w:bottom w:val="none" w:sz="0" w:space="0" w:color="auto"/>
        <w:right w:val="none" w:sz="0" w:space="0" w:color="auto"/>
      </w:divBdr>
    </w:div>
    <w:div w:id="626354090">
      <w:bodyDiv w:val="1"/>
      <w:marLeft w:val="0"/>
      <w:marRight w:val="0"/>
      <w:marTop w:val="0"/>
      <w:marBottom w:val="0"/>
      <w:divBdr>
        <w:top w:val="none" w:sz="0" w:space="0" w:color="auto"/>
        <w:left w:val="none" w:sz="0" w:space="0" w:color="auto"/>
        <w:bottom w:val="none" w:sz="0" w:space="0" w:color="auto"/>
        <w:right w:val="none" w:sz="0" w:space="0" w:color="auto"/>
      </w:divBdr>
    </w:div>
    <w:div w:id="641351084">
      <w:bodyDiv w:val="1"/>
      <w:marLeft w:val="0"/>
      <w:marRight w:val="0"/>
      <w:marTop w:val="0"/>
      <w:marBottom w:val="0"/>
      <w:divBdr>
        <w:top w:val="none" w:sz="0" w:space="0" w:color="auto"/>
        <w:left w:val="none" w:sz="0" w:space="0" w:color="auto"/>
        <w:bottom w:val="none" w:sz="0" w:space="0" w:color="auto"/>
        <w:right w:val="none" w:sz="0" w:space="0" w:color="auto"/>
      </w:divBdr>
    </w:div>
    <w:div w:id="662777435">
      <w:bodyDiv w:val="1"/>
      <w:marLeft w:val="0"/>
      <w:marRight w:val="0"/>
      <w:marTop w:val="0"/>
      <w:marBottom w:val="0"/>
      <w:divBdr>
        <w:top w:val="none" w:sz="0" w:space="0" w:color="auto"/>
        <w:left w:val="none" w:sz="0" w:space="0" w:color="auto"/>
        <w:bottom w:val="none" w:sz="0" w:space="0" w:color="auto"/>
        <w:right w:val="none" w:sz="0" w:space="0" w:color="auto"/>
      </w:divBdr>
      <w:divsChild>
        <w:div w:id="2122140224">
          <w:marLeft w:val="547"/>
          <w:marRight w:val="0"/>
          <w:marTop w:val="120"/>
          <w:marBottom w:val="0"/>
          <w:divBdr>
            <w:top w:val="none" w:sz="0" w:space="0" w:color="auto"/>
            <w:left w:val="none" w:sz="0" w:space="0" w:color="auto"/>
            <w:bottom w:val="none" w:sz="0" w:space="0" w:color="auto"/>
            <w:right w:val="none" w:sz="0" w:space="0" w:color="auto"/>
          </w:divBdr>
        </w:div>
      </w:divsChild>
    </w:div>
    <w:div w:id="702368314">
      <w:bodyDiv w:val="1"/>
      <w:marLeft w:val="0"/>
      <w:marRight w:val="0"/>
      <w:marTop w:val="0"/>
      <w:marBottom w:val="0"/>
      <w:divBdr>
        <w:top w:val="none" w:sz="0" w:space="0" w:color="auto"/>
        <w:left w:val="none" w:sz="0" w:space="0" w:color="auto"/>
        <w:bottom w:val="none" w:sz="0" w:space="0" w:color="auto"/>
        <w:right w:val="none" w:sz="0" w:space="0" w:color="auto"/>
      </w:divBdr>
      <w:divsChild>
        <w:div w:id="514005127">
          <w:marLeft w:val="547"/>
          <w:marRight w:val="0"/>
          <w:marTop w:val="120"/>
          <w:marBottom w:val="0"/>
          <w:divBdr>
            <w:top w:val="none" w:sz="0" w:space="0" w:color="auto"/>
            <w:left w:val="none" w:sz="0" w:space="0" w:color="auto"/>
            <w:bottom w:val="none" w:sz="0" w:space="0" w:color="auto"/>
            <w:right w:val="none" w:sz="0" w:space="0" w:color="auto"/>
          </w:divBdr>
        </w:div>
        <w:div w:id="699088269">
          <w:marLeft w:val="547"/>
          <w:marRight w:val="0"/>
          <w:marTop w:val="120"/>
          <w:marBottom w:val="0"/>
          <w:divBdr>
            <w:top w:val="none" w:sz="0" w:space="0" w:color="auto"/>
            <w:left w:val="none" w:sz="0" w:space="0" w:color="auto"/>
            <w:bottom w:val="none" w:sz="0" w:space="0" w:color="auto"/>
            <w:right w:val="none" w:sz="0" w:space="0" w:color="auto"/>
          </w:divBdr>
        </w:div>
        <w:div w:id="731735636">
          <w:marLeft w:val="547"/>
          <w:marRight w:val="0"/>
          <w:marTop w:val="120"/>
          <w:marBottom w:val="0"/>
          <w:divBdr>
            <w:top w:val="none" w:sz="0" w:space="0" w:color="auto"/>
            <w:left w:val="none" w:sz="0" w:space="0" w:color="auto"/>
            <w:bottom w:val="none" w:sz="0" w:space="0" w:color="auto"/>
            <w:right w:val="none" w:sz="0" w:space="0" w:color="auto"/>
          </w:divBdr>
        </w:div>
        <w:div w:id="980185744">
          <w:marLeft w:val="547"/>
          <w:marRight w:val="0"/>
          <w:marTop w:val="120"/>
          <w:marBottom w:val="0"/>
          <w:divBdr>
            <w:top w:val="none" w:sz="0" w:space="0" w:color="auto"/>
            <w:left w:val="none" w:sz="0" w:space="0" w:color="auto"/>
            <w:bottom w:val="none" w:sz="0" w:space="0" w:color="auto"/>
            <w:right w:val="none" w:sz="0" w:space="0" w:color="auto"/>
          </w:divBdr>
        </w:div>
        <w:div w:id="1157766097">
          <w:marLeft w:val="547"/>
          <w:marRight w:val="0"/>
          <w:marTop w:val="120"/>
          <w:marBottom w:val="0"/>
          <w:divBdr>
            <w:top w:val="none" w:sz="0" w:space="0" w:color="auto"/>
            <w:left w:val="none" w:sz="0" w:space="0" w:color="auto"/>
            <w:bottom w:val="none" w:sz="0" w:space="0" w:color="auto"/>
            <w:right w:val="none" w:sz="0" w:space="0" w:color="auto"/>
          </w:divBdr>
        </w:div>
      </w:divsChild>
    </w:div>
    <w:div w:id="707754828">
      <w:bodyDiv w:val="1"/>
      <w:marLeft w:val="0"/>
      <w:marRight w:val="0"/>
      <w:marTop w:val="0"/>
      <w:marBottom w:val="0"/>
      <w:divBdr>
        <w:top w:val="none" w:sz="0" w:space="0" w:color="auto"/>
        <w:left w:val="none" w:sz="0" w:space="0" w:color="auto"/>
        <w:bottom w:val="none" w:sz="0" w:space="0" w:color="auto"/>
        <w:right w:val="none" w:sz="0" w:space="0" w:color="auto"/>
      </w:divBdr>
    </w:div>
    <w:div w:id="784622620">
      <w:bodyDiv w:val="1"/>
      <w:marLeft w:val="0"/>
      <w:marRight w:val="0"/>
      <w:marTop w:val="0"/>
      <w:marBottom w:val="0"/>
      <w:divBdr>
        <w:top w:val="none" w:sz="0" w:space="0" w:color="auto"/>
        <w:left w:val="none" w:sz="0" w:space="0" w:color="auto"/>
        <w:bottom w:val="none" w:sz="0" w:space="0" w:color="auto"/>
        <w:right w:val="none" w:sz="0" w:space="0" w:color="auto"/>
      </w:divBdr>
    </w:div>
    <w:div w:id="897208306">
      <w:bodyDiv w:val="1"/>
      <w:marLeft w:val="0"/>
      <w:marRight w:val="0"/>
      <w:marTop w:val="0"/>
      <w:marBottom w:val="0"/>
      <w:divBdr>
        <w:top w:val="none" w:sz="0" w:space="0" w:color="auto"/>
        <w:left w:val="none" w:sz="0" w:space="0" w:color="auto"/>
        <w:bottom w:val="none" w:sz="0" w:space="0" w:color="auto"/>
        <w:right w:val="none" w:sz="0" w:space="0" w:color="auto"/>
      </w:divBdr>
    </w:div>
    <w:div w:id="921913718">
      <w:bodyDiv w:val="1"/>
      <w:marLeft w:val="0"/>
      <w:marRight w:val="0"/>
      <w:marTop w:val="0"/>
      <w:marBottom w:val="0"/>
      <w:divBdr>
        <w:top w:val="none" w:sz="0" w:space="0" w:color="auto"/>
        <w:left w:val="none" w:sz="0" w:space="0" w:color="auto"/>
        <w:bottom w:val="none" w:sz="0" w:space="0" w:color="auto"/>
        <w:right w:val="none" w:sz="0" w:space="0" w:color="auto"/>
      </w:divBdr>
    </w:div>
    <w:div w:id="978192460">
      <w:bodyDiv w:val="1"/>
      <w:marLeft w:val="0"/>
      <w:marRight w:val="0"/>
      <w:marTop w:val="0"/>
      <w:marBottom w:val="0"/>
      <w:divBdr>
        <w:top w:val="none" w:sz="0" w:space="0" w:color="auto"/>
        <w:left w:val="none" w:sz="0" w:space="0" w:color="auto"/>
        <w:bottom w:val="none" w:sz="0" w:space="0" w:color="auto"/>
        <w:right w:val="none" w:sz="0" w:space="0" w:color="auto"/>
      </w:divBdr>
    </w:div>
    <w:div w:id="1370841029">
      <w:bodyDiv w:val="1"/>
      <w:marLeft w:val="0"/>
      <w:marRight w:val="0"/>
      <w:marTop w:val="0"/>
      <w:marBottom w:val="0"/>
      <w:divBdr>
        <w:top w:val="none" w:sz="0" w:space="0" w:color="auto"/>
        <w:left w:val="none" w:sz="0" w:space="0" w:color="auto"/>
        <w:bottom w:val="none" w:sz="0" w:space="0" w:color="auto"/>
        <w:right w:val="none" w:sz="0" w:space="0" w:color="auto"/>
      </w:divBdr>
    </w:div>
    <w:div w:id="1477718791">
      <w:bodyDiv w:val="1"/>
      <w:marLeft w:val="0"/>
      <w:marRight w:val="0"/>
      <w:marTop w:val="0"/>
      <w:marBottom w:val="0"/>
      <w:divBdr>
        <w:top w:val="none" w:sz="0" w:space="0" w:color="auto"/>
        <w:left w:val="none" w:sz="0" w:space="0" w:color="auto"/>
        <w:bottom w:val="none" w:sz="0" w:space="0" w:color="auto"/>
        <w:right w:val="none" w:sz="0" w:space="0" w:color="auto"/>
      </w:divBdr>
    </w:div>
    <w:div w:id="1603493300">
      <w:bodyDiv w:val="1"/>
      <w:marLeft w:val="0"/>
      <w:marRight w:val="0"/>
      <w:marTop w:val="0"/>
      <w:marBottom w:val="0"/>
      <w:divBdr>
        <w:top w:val="none" w:sz="0" w:space="0" w:color="auto"/>
        <w:left w:val="none" w:sz="0" w:space="0" w:color="auto"/>
        <w:bottom w:val="none" w:sz="0" w:space="0" w:color="auto"/>
        <w:right w:val="none" w:sz="0" w:space="0" w:color="auto"/>
      </w:divBdr>
    </w:div>
    <w:div w:id="1628584484">
      <w:bodyDiv w:val="1"/>
      <w:marLeft w:val="0"/>
      <w:marRight w:val="0"/>
      <w:marTop w:val="0"/>
      <w:marBottom w:val="0"/>
      <w:divBdr>
        <w:top w:val="none" w:sz="0" w:space="0" w:color="auto"/>
        <w:left w:val="none" w:sz="0" w:space="0" w:color="auto"/>
        <w:bottom w:val="none" w:sz="0" w:space="0" w:color="auto"/>
        <w:right w:val="none" w:sz="0" w:space="0" w:color="auto"/>
      </w:divBdr>
    </w:div>
    <w:div w:id="1634866252">
      <w:bodyDiv w:val="1"/>
      <w:marLeft w:val="0"/>
      <w:marRight w:val="0"/>
      <w:marTop w:val="0"/>
      <w:marBottom w:val="0"/>
      <w:divBdr>
        <w:top w:val="none" w:sz="0" w:space="0" w:color="auto"/>
        <w:left w:val="none" w:sz="0" w:space="0" w:color="auto"/>
        <w:bottom w:val="none" w:sz="0" w:space="0" w:color="auto"/>
        <w:right w:val="none" w:sz="0" w:space="0" w:color="auto"/>
      </w:divBdr>
    </w:div>
    <w:div w:id="1731607946">
      <w:bodyDiv w:val="1"/>
      <w:marLeft w:val="0"/>
      <w:marRight w:val="0"/>
      <w:marTop w:val="0"/>
      <w:marBottom w:val="0"/>
      <w:divBdr>
        <w:top w:val="none" w:sz="0" w:space="0" w:color="auto"/>
        <w:left w:val="none" w:sz="0" w:space="0" w:color="auto"/>
        <w:bottom w:val="none" w:sz="0" w:space="0" w:color="auto"/>
        <w:right w:val="none" w:sz="0" w:space="0" w:color="auto"/>
      </w:divBdr>
      <w:divsChild>
        <w:div w:id="282074065">
          <w:marLeft w:val="547"/>
          <w:marRight w:val="0"/>
          <w:marTop w:val="106"/>
          <w:marBottom w:val="0"/>
          <w:divBdr>
            <w:top w:val="none" w:sz="0" w:space="0" w:color="auto"/>
            <w:left w:val="none" w:sz="0" w:space="0" w:color="auto"/>
            <w:bottom w:val="none" w:sz="0" w:space="0" w:color="auto"/>
            <w:right w:val="none" w:sz="0" w:space="0" w:color="auto"/>
          </w:divBdr>
        </w:div>
        <w:div w:id="970591518">
          <w:marLeft w:val="547"/>
          <w:marRight w:val="0"/>
          <w:marTop w:val="106"/>
          <w:marBottom w:val="0"/>
          <w:divBdr>
            <w:top w:val="none" w:sz="0" w:space="0" w:color="auto"/>
            <w:left w:val="none" w:sz="0" w:space="0" w:color="auto"/>
            <w:bottom w:val="none" w:sz="0" w:space="0" w:color="auto"/>
            <w:right w:val="none" w:sz="0" w:space="0" w:color="auto"/>
          </w:divBdr>
        </w:div>
        <w:div w:id="1925602663">
          <w:marLeft w:val="547"/>
          <w:marRight w:val="0"/>
          <w:marTop w:val="106"/>
          <w:marBottom w:val="0"/>
          <w:divBdr>
            <w:top w:val="none" w:sz="0" w:space="0" w:color="auto"/>
            <w:left w:val="none" w:sz="0" w:space="0" w:color="auto"/>
            <w:bottom w:val="none" w:sz="0" w:space="0" w:color="auto"/>
            <w:right w:val="none" w:sz="0" w:space="0" w:color="auto"/>
          </w:divBdr>
        </w:div>
      </w:divsChild>
    </w:div>
    <w:div w:id="1739328149">
      <w:bodyDiv w:val="1"/>
      <w:marLeft w:val="0"/>
      <w:marRight w:val="0"/>
      <w:marTop w:val="0"/>
      <w:marBottom w:val="0"/>
      <w:divBdr>
        <w:top w:val="none" w:sz="0" w:space="0" w:color="auto"/>
        <w:left w:val="none" w:sz="0" w:space="0" w:color="auto"/>
        <w:bottom w:val="none" w:sz="0" w:space="0" w:color="auto"/>
        <w:right w:val="none" w:sz="0" w:space="0" w:color="auto"/>
      </w:divBdr>
      <w:divsChild>
        <w:div w:id="1500197450">
          <w:marLeft w:val="547"/>
          <w:marRight w:val="0"/>
          <w:marTop w:val="115"/>
          <w:marBottom w:val="0"/>
          <w:divBdr>
            <w:top w:val="none" w:sz="0" w:space="0" w:color="auto"/>
            <w:left w:val="none" w:sz="0" w:space="0" w:color="auto"/>
            <w:bottom w:val="none" w:sz="0" w:space="0" w:color="auto"/>
            <w:right w:val="none" w:sz="0" w:space="0" w:color="auto"/>
          </w:divBdr>
        </w:div>
        <w:div w:id="1843200665">
          <w:marLeft w:val="547"/>
          <w:marRight w:val="0"/>
          <w:marTop w:val="115"/>
          <w:marBottom w:val="0"/>
          <w:divBdr>
            <w:top w:val="none" w:sz="0" w:space="0" w:color="auto"/>
            <w:left w:val="none" w:sz="0" w:space="0" w:color="auto"/>
            <w:bottom w:val="none" w:sz="0" w:space="0" w:color="auto"/>
            <w:right w:val="none" w:sz="0" w:space="0" w:color="auto"/>
          </w:divBdr>
        </w:div>
        <w:div w:id="1966278789">
          <w:marLeft w:val="547"/>
          <w:marRight w:val="0"/>
          <w:marTop w:val="115"/>
          <w:marBottom w:val="0"/>
          <w:divBdr>
            <w:top w:val="none" w:sz="0" w:space="0" w:color="auto"/>
            <w:left w:val="none" w:sz="0" w:space="0" w:color="auto"/>
            <w:bottom w:val="none" w:sz="0" w:space="0" w:color="auto"/>
            <w:right w:val="none" w:sz="0" w:space="0" w:color="auto"/>
          </w:divBdr>
        </w:div>
      </w:divsChild>
    </w:div>
    <w:div w:id="1772895936">
      <w:bodyDiv w:val="1"/>
      <w:marLeft w:val="0"/>
      <w:marRight w:val="0"/>
      <w:marTop w:val="0"/>
      <w:marBottom w:val="0"/>
      <w:divBdr>
        <w:top w:val="none" w:sz="0" w:space="0" w:color="auto"/>
        <w:left w:val="none" w:sz="0" w:space="0" w:color="auto"/>
        <w:bottom w:val="none" w:sz="0" w:space="0" w:color="auto"/>
        <w:right w:val="none" w:sz="0" w:space="0" w:color="auto"/>
      </w:divBdr>
    </w:div>
    <w:div w:id="1775443553">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3157681">
      <w:bodyDiv w:val="1"/>
      <w:marLeft w:val="0"/>
      <w:marRight w:val="0"/>
      <w:marTop w:val="0"/>
      <w:marBottom w:val="0"/>
      <w:divBdr>
        <w:top w:val="none" w:sz="0" w:space="0" w:color="auto"/>
        <w:left w:val="none" w:sz="0" w:space="0" w:color="auto"/>
        <w:bottom w:val="none" w:sz="0" w:space="0" w:color="auto"/>
        <w:right w:val="none" w:sz="0" w:space="0" w:color="auto"/>
      </w:divBdr>
      <w:divsChild>
        <w:div w:id="831992054">
          <w:marLeft w:val="547"/>
          <w:marRight w:val="0"/>
          <w:marTop w:val="106"/>
          <w:marBottom w:val="0"/>
          <w:divBdr>
            <w:top w:val="none" w:sz="0" w:space="0" w:color="auto"/>
            <w:left w:val="none" w:sz="0" w:space="0" w:color="auto"/>
            <w:bottom w:val="none" w:sz="0" w:space="0" w:color="auto"/>
            <w:right w:val="none" w:sz="0" w:space="0" w:color="auto"/>
          </w:divBdr>
        </w:div>
      </w:divsChild>
    </w:div>
    <w:div w:id="1906984323">
      <w:bodyDiv w:val="1"/>
      <w:marLeft w:val="0"/>
      <w:marRight w:val="0"/>
      <w:marTop w:val="0"/>
      <w:marBottom w:val="0"/>
      <w:divBdr>
        <w:top w:val="none" w:sz="0" w:space="0" w:color="auto"/>
        <w:left w:val="none" w:sz="0" w:space="0" w:color="auto"/>
        <w:bottom w:val="none" w:sz="0" w:space="0" w:color="auto"/>
        <w:right w:val="none" w:sz="0" w:space="0" w:color="auto"/>
      </w:divBdr>
    </w:div>
    <w:div w:id="19483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sb.se/sv/Produkter--tjanster/Publikationer/Publikationer-fran-MSB/Riskbild-for-oljeolyckor-till-sjoss-i-Sverige-infor-ar-2025/" TargetMode="External"/><Relationship Id="rId23"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png"/><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rib.msb.se/filer/pdf/29856.pdf" TargetMode="External"/><Relationship Id="rId3" Type="http://schemas.openxmlformats.org/officeDocument/2006/relationships/hyperlink" Target="https://rib.msb.se/filer/pdf/28045.pdf" TargetMode="External"/><Relationship Id="rId7" Type="http://schemas.openxmlformats.org/officeDocument/2006/relationships/hyperlink" Target="https://www.msb.se/sv/amnesomraden/skydd-mot-olyckor-och-farliga-amnen/cbrne/oljeskadeskydd/nationell-konferens-for-oljeskadeskydd/" TargetMode="External"/><Relationship Id="rId12" Type="http://schemas.openxmlformats.org/officeDocument/2006/relationships/hyperlink" Target="https://rib.msb.se/filer/pdf/27384.pdf" TargetMode="External"/><Relationship Id="rId2" Type="http://schemas.openxmlformats.org/officeDocument/2006/relationships/hyperlink" Target="https://rib.msb.se/filer/pdf/29856.pdf" TargetMode="External"/><Relationship Id="rId1" Type="http://schemas.openxmlformats.org/officeDocument/2006/relationships/hyperlink" Target="https://www.msb.se/sv/amnesomraden/skydd-mot-olyckor-och-farliga-amnen/cbrne/cbrne-strategi/" TargetMode="External"/><Relationship Id="rId6" Type="http://schemas.openxmlformats.org/officeDocument/2006/relationships/hyperlink" Target="https://www.riksrevisionen.se/rapporter/granskningsrapporter/2005/nar-oljan-nar-land---har-staten-sakerstallt-en-god-kommunal-beredskap-for-oljekatastrofer.html" TargetMode="External"/><Relationship Id="rId11" Type="http://schemas.openxmlformats.org/officeDocument/2006/relationships/hyperlink" Target="https://rib.msb.se/filer/pdf/28045.pdf" TargetMode="External"/><Relationship Id="rId5" Type="http://schemas.openxmlformats.org/officeDocument/2006/relationships/hyperlink" Target="https://www.esv.se/contentassets/147db303c0ee4b8f8bd79f9bf2155d91/2016-31-vagledning-verksamhetslogik.pdf" TargetMode="External"/><Relationship Id="rId10" Type="http://schemas.openxmlformats.org/officeDocument/2006/relationships/hyperlink" Target="https://www.msb.se/sv/amnesomraden/krisberedskap--civilt-forsvar/samverkan-och-ledning/gemensamma-grunder-for-samverkan-och-ledning-vid-samhallsstorningar/" TargetMode="External"/><Relationship Id="rId4" Type="http://schemas.openxmlformats.org/officeDocument/2006/relationships/hyperlink" Target="https://www.imo.org/en/About/Conventions/Pages/Protocol-on-Preparedness,-Response-and-Co-operation-to-pollution-Incidents-by-Hazardous-and-Noxious-Substances-(OPRC-HNS-Pr.aspx" TargetMode="External"/><Relationship Id="rId9" Type="http://schemas.openxmlformats.org/officeDocument/2006/relationships/hyperlink" Target="https://www.tietoevry.com/se/tjanster/affars-och-teknikradgivning/pps/pps-modellen/pps-projektstyr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D91A00BC53844AB5273156A4D0B6D1" ma:contentTypeVersion="6" ma:contentTypeDescription="Skapa ett nytt dokument." ma:contentTypeScope="" ma:versionID="d72a48d302ec7e36fb14e74eee175749">
  <xsd:schema xmlns:xsd="http://www.w3.org/2001/XMLSchema" xmlns:xs="http://www.w3.org/2001/XMLSchema" xmlns:p="http://schemas.microsoft.com/office/2006/metadata/properties" xmlns:ns2="6eeeb77b-0059-454b-8392-fb11d7fd2d83" targetNamespace="http://schemas.microsoft.com/office/2006/metadata/properties" ma:root="true" ma:fieldsID="432e690d953dabf309e327048cb0072f" ns2:_="">
    <xsd:import namespace="6eeeb77b-0059-454b-8392-fb11d7fd2d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eb77b-0059-454b-8392-fb11d7fd2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6DCD-658D-456F-ABF9-B1D7CC332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eb77b-0059-454b-8392-fb11d7fd2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BD605-EC7C-4ED3-8684-4954096FB7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D55A5-3942-47AC-9F72-65281AD90624}">
  <ds:schemaRefs>
    <ds:schemaRef ds:uri="http://schemas.microsoft.com/sharepoint/v3/contenttype/forms"/>
  </ds:schemaRefs>
</ds:datastoreItem>
</file>

<file path=customXml/itemProps4.xml><?xml version="1.0" encoding="utf-8"?>
<ds:datastoreItem xmlns:ds="http://schemas.openxmlformats.org/officeDocument/2006/customXml" ds:itemID="{5A650D97-BFAE-4DFE-B1E0-51502BCF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29</Pages>
  <Words>5588</Words>
  <Characters>29618</Characters>
  <Application>Microsoft Office Word</Application>
  <DocSecurity>0</DocSecurity>
  <Lines>246</Lines>
  <Paragraphs>70</Paragraphs>
  <ScaleCrop>false</ScaleCrop>
  <HeadingPairs>
    <vt:vector size="2" baseType="variant">
      <vt:variant>
        <vt:lpstr>Rubrik</vt:lpstr>
      </vt:variant>
      <vt:variant>
        <vt:i4>1</vt:i4>
      </vt:variant>
    </vt:vector>
  </HeadingPairs>
  <TitlesOfParts>
    <vt:vector size="1" baseType="lpstr">
      <vt:lpstr>Rapport</vt:lpstr>
    </vt:vector>
  </TitlesOfParts>
  <Company>MSB</Company>
  <LinksUpToDate>false</LinksUpToDate>
  <CharactersWithSpaces>35136</CharactersWithSpaces>
  <SharedDoc>false</SharedDoc>
  <HLinks>
    <vt:vector size="150" baseType="variant">
      <vt:variant>
        <vt:i4>7602301</vt:i4>
      </vt:variant>
      <vt:variant>
        <vt:i4>111</vt:i4>
      </vt:variant>
      <vt:variant>
        <vt:i4>0</vt:i4>
      </vt:variant>
      <vt:variant>
        <vt:i4>5</vt:i4>
      </vt:variant>
      <vt:variant>
        <vt:lpwstr>https://msb.se/sv/Produkter--tjanster/Publikationer/Publikationer-fran-MSB/Riskbild-for-oljeolyckor-till-sjoss-i-Sverige-infor-ar-2025/</vt:lpwstr>
      </vt:variant>
      <vt:variant>
        <vt:lpwstr/>
      </vt:variant>
      <vt:variant>
        <vt:i4>1769522</vt:i4>
      </vt:variant>
      <vt:variant>
        <vt:i4>104</vt:i4>
      </vt:variant>
      <vt:variant>
        <vt:i4>0</vt:i4>
      </vt:variant>
      <vt:variant>
        <vt:i4>5</vt:i4>
      </vt:variant>
      <vt:variant>
        <vt:lpwstr/>
      </vt:variant>
      <vt:variant>
        <vt:lpwstr>_Toc85019038</vt:lpwstr>
      </vt:variant>
      <vt:variant>
        <vt:i4>1310770</vt:i4>
      </vt:variant>
      <vt:variant>
        <vt:i4>98</vt:i4>
      </vt:variant>
      <vt:variant>
        <vt:i4>0</vt:i4>
      </vt:variant>
      <vt:variant>
        <vt:i4>5</vt:i4>
      </vt:variant>
      <vt:variant>
        <vt:lpwstr/>
      </vt:variant>
      <vt:variant>
        <vt:lpwstr>_Toc85019037</vt:lpwstr>
      </vt:variant>
      <vt:variant>
        <vt:i4>1376306</vt:i4>
      </vt:variant>
      <vt:variant>
        <vt:i4>92</vt:i4>
      </vt:variant>
      <vt:variant>
        <vt:i4>0</vt:i4>
      </vt:variant>
      <vt:variant>
        <vt:i4>5</vt:i4>
      </vt:variant>
      <vt:variant>
        <vt:lpwstr/>
      </vt:variant>
      <vt:variant>
        <vt:lpwstr>_Toc85019036</vt:lpwstr>
      </vt:variant>
      <vt:variant>
        <vt:i4>1441842</vt:i4>
      </vt:variant>
      <vt:variant>
        <vt:i4>86</vt:i4>
      </vt:variant>
      <vt:variant>
        <vt:i4>0</vt:i4>
      </vt:variant>
      <vt:variant>
        <vt:i4>5</vt:i4>
      </vt:variant>
      <vt:variant>
        <vt:lpwstr/>
      </vt:variant>
      <vt:variant>
        <vt:lpwstr>_Toc85019035</vt:lpwstr>
      </vt:variant>
      <vt:variant>
        <vt:i4>1507378</vt:i4>
      </vt:variant>
      <vt:variant>
        <vt:i4>80</vt:i4>
      </vt:variant>
      <vt:variant>
        <vt:i4>0</vt:i4>
      </vt:variant>
      <vt:variant>
        <vt:i4>5</vt:i4>
      </vt:variant>
      <vt:variant>
        <vt:lpwstr/>
      </vt:variant>
      <vt:variant>
        <vt:lpwstr>_Toc85019034</vt:lpwstr>
      </vt:variant>
      <vt:variant>
        <vt:i4>1048626</vt:i4>
      </vt:variant>
      <vt:variant>
        <vt:i4>74</vt:i4>
      </vt:variant>
      <vt:variant>
        <vt:i4>0</vt:i4>
      </vt:variant>
      <vt:variant>
        <vt:i4>5</vt:i4>
      </vt:variant>
      <vt:variant>
        <vt:lpwstr/>
      </vt:variant>
      <vt:variant>
        <vt:lpwstr>_Toc85019033</vt:lpwstr>
      </vt:variant>
      <vt:variant>
        <vt:i4>1114162</vt:i4>
      </vt:variant>
      <vt:variant>
        <vt:i4>68</vt:i4>
      </vt:variant>
      <vt:variant>
        <vt:i4>0</vt:i4>
      </vt:variant>
      <vt:variant>
        <vt:i4>5</vt:i4>
      </vt:variant>
      <vt:variant>
        <vt:lpwstr/>
      </vt:variant>
      <vt:variant>
        <vt:lpwstr>_Toc85019032</vt:lpwstr>
      </vt:variant>
      <vt:variant>
        <vt:i4>1179698</vt:i4>
      </vt:variant>
      <vt:variant>
        <vt:i4>62</vt:i4>
      </vt:variant>
      <vt:variant>
        <vt:i4>0</vt:i4>
      </vt:variant>
      <vt:variant>
        <vt:i4>5</vt:i4>
      </vt:variant>
      <vt:variant>
        <vt:lpwstr/>
      </vt:variant>
      <vt:variant>
        <vt:lpwstr>_Toc85019031</vt:lpwstr>
      </vt:variant>
      <vt:variant>
        <vt:i4>1245234</vt:i4>
      </vt:variant>
      <vt:variant>
        <vt:i4>56</vt:i4>
      </vt:variant>
      <vt:variant>
        <vt:i4>0</vt:i4>
      </vt:variant>
      <vt:variant>
        <vt:i4>5</vt:i4>
      </vt:variant>
      <vt:variant>
        <vt:lpwstr/>
      </vt:variant>
      <vt:variant>
        <vt:lpwstr>_Toc85019030</vt:lpwstr>
      </vt:variant>
      <vt:variant>
        <vt:i4>1703987</vt:i4>
      </vt:variant>
      <vt:variant>
        <vt:i4>50</vt:i4>
      </vt:variant>
      <vt:variant>
        <vt:i4>0</vt:i4>
      </vt:variant>
      <vt:variant>
        <vt:i4>5</vt:i4>
      </vt:variant>
      <vt:variant>
        <vt:lpwstr/>
      </vt:variant>
      <vt:variant>
        <vt:lpwstr>_Toc85019029</vt:lpwstr>
      </vt:variant>
      <vt:variant>
        <vt:i4>1769523</vt:i4>
      </vt:variant>
      <vt:variant>
        <vt:i4>44</vt:i4>
      </vt:variant>
      <vt:variant>
        <vt:i4>0</vt:i4>
      </vt:variant>
      <vt:variant>
        <vt:i4>5</vt:i4>
      </vt:variant>
      <vt:variant>
        <vt:lpwstr/>
      </vt:variant>
      <vt:variant>
        <vt:lpwstr>_Toc85019028</vt:lpwstr>
      </vt:variant>
      <vt:variant>
        <vt:i4>1310771</vt:i4>
      </vt:variant>
      <vt:variant>
        <vt:i4>38</vt:i4>
      </vt:variant>
      <vt:variant>
        <vt:i4>0</vt:i4>
      </vt:variant>
      <vt:variant>
        <vt:i4>5</vt:i4>
      </vt:variant>
      <vt:variant>
        <vt:lpwstr/>
      </vt:variant>
      <vt:variant>
        <vt:lpwstr>_Toc85019027</vt:lpwstr>
      </vt:variant>
      <vt:variant>
        <vt:i4>1376307</vt:i4>
      </vt:variant>
      <vt:variant>
        <vt:i4>32</vt:i4>
      </vt:variant>
      <vt:variant>
        <vt:i4>0</vt:i4>
      </vt:variant>
      <vt:variant>
        <vt:i4>5</vt:i4>
      </vt:variant>
      <vt:variant>
        <vt:lpwstr/>
      </vt:variant>
      <vt:variant>
        <vt:lpwstr>_Toc85019026</vt:lpwstr>
      </vt:variant>
      <vt:variant>
        <vt:i4>1441843</vt:i4>
      </vt:variant>
      <vt:variant>
        <vt:i4>26</vt:i4>
      </vt:variant>
      <vt:variant>
        <vt:i4>0</vt:i4>
      </vt:variant>
      <vt:variant>
        <vt:i4>5</vt:i4>
      </vt:variant>
      <vt:variant>
        <vt:lpwstr/>
      </vt:variant>
      <vt:variant>
        <vt:lpwstr>_Toc85019025</vt:lpwstr>
      </vt:variant>
      <vt:variant>
        <vt:i4>1507379</vt:i4>
      </vt:variant>
      <vt:variant>
        <vt:i4>20</vt:i4>
      </vt:variant>
      <vt:variant>
        <vt:i4>0</vt:i4>
      </vt:variant>
      <vt:variant>
        <vt:i4>5</vt:i4>
      </vt:variant>
      <vt:variant>
        <vt:lpwstr/>
      </vt:variant>
      <vt:variant>
        <vt:lpwstr>_Toc85019024</vt:lpwstr>
      </vt:variant>
      <vt:variant>
        <vt:i4>1048627</vt:i4>
      </vt:variant>
      <vt:variant>
        <vt:i4>14</vt:i4>
      </vt:variant>
      <vt:variant>
        <vt:i4>0</vt:i4>
      </vt:variant>
      <vt:variant>
        <vt:i4>5</vt:i4>
      </vt:variant>
      <vt:variant>
        <vt:lpwstr/>
      </vt:variant>
      <vt:variant>
        <vt:lpwstr>_Toc85019023</vt:lpwstr>
      </vt:variant>
      <vt:variant>
        <vt:i4>1114163</vt:i4>
      </vt:variant>
      <vt:variant>
        <vt:i4>8</vt:i4>
      </vt:variant>
      <vt:variant>
        <vt:i4>0</vt:i4>
      </vt:variant>
      <vt:variant>
        <vt:i4>5</vt:i4>
      </vt:variant>
      <vt:variant>
        <vt:lpwstr/>
      </vt:variant>
      <vt:variant>
        <vt:lpwstr>_Toc85019022</vt:lpwstr>
      </vt:variant>
      <vt:variant>
        <vt:i4>1179699</vt:i4>
      </vt:variant>
      <vt:variant>
        <vt:i4>2</vt:i4>
      </vt:variant>
      <vt:variant>
        <vt:i4>0</vt:i4>
      </vt:variant>
      <vt:variant>
        <vt:i4>5</vt:i4>
      </vt:variant>
      <vt:variant>
        <vt:lpwstr/>
      </vt:variant>
      <vt:variant>
        <vt:lpwstr>_Toc85019021</vt:lpwstr>
      </vt:variant>
      <vt:variant>
        <vt:i4>1507345</vt:i4>
      </vt:variant>
      <vt:variant>
        <vt:i4>18</vt:i4>
      </vt:variant>
      <vt:variant>
        <vt:i4>0</vt:i4>
      </vt:variant>
      <vt:variant>
        <vt:i4>5</vt:i4>
      </vt:variant>
      <vt:variant>
        <vt:lpwstr>https://www.msb.se/sv/Om-MSB/Nyheter-och-press/Nyheter/Nyheter-CBRNE/Ostersjokonventionen-omfattar-aven-oljebekampning-pa-strand/</vt:lpwstr>
      </vt:variant>
      <vt:variant>
        <vt:lpwstr/>
      </vt:variant>
      <vt:variant>
        <vt:i4>7209072</vt:i4>
      </vt:variant>
      <vt:variant>
        <vt:i4>12</vt:i4>
      </vt:variant>
      <vt:variant>
        <vt:i4>0</vt:i4>
      </vt:variant>
      <vt:variant>
        <vt:i4>5</vt:i4>
      </vt:variant>
      <vt:variant>
        <vt:lpwstr>http://www.regeringen.se/informationsmaterial/2015/08/en-svensk-maritim-strategi--for-manniskor-jobb-och-miljo/</vt:lpwstr>
      </vt:variant>
      <vt:variant>
        <vt:lpwstr/>
      </vt:variant>
      <vt:variant>
        <vt:i4>7012470</vt:i4>
      </vt:variant>
      <vt:variant>
        <vt:i4>9</vt:i4>
      </vt:variant>
      <vt:variant>
        <vt:i4>0</vt:i4>
      </vt:variant>
      <vt:variant>
        <vt:i4>5</vt:i4>
      </vt:variant>
      <vt:variant>
        <vt:lpwstr>https://www.msb.se/samverkanledning</vt:lpwstr>
      </vt:variant>
      <vt:variant>
        <vt:lpwstr/>
      </vt:variant>
      <vt:variant>
        <vt:i4>2949224</vt:i4>
      </vt:variant>
      <vt:variant>
        <vt:i4>6</vt:i4>
      </vt:variant>
      <vt:variant>
        <vt:i4>0</vt:i4>
      </vt:variant>
      <vt:variant>
        <vt:i4>5</vt:i4>
      </vt:variant>
      <vt:variant>
        <vt:lpwstr>https://www.msb.se/RibData/Filer/pdf/27483.pdf</vt:lpwstr>
      </vt:variant>
      <vt:variant>
        <vt:lpwstr/>
      </vt:variant>
      <vt:variant>
        <vt:i4>2949224</vt:i4>
      </vt:variant>
      <vt:variant>
        <vt:i4>3</vt:i4>
      </vt:variant>
      <vt:variant>
        <vt:i4>0</vt:i4>
      </vt:variant>
      <vt:variant>
        <vt:i4>5</vt:i4>
      </vt:variant>
      <vt:variant>
        <vt:lpwstr>https://www.msb.se/RibData/Filer/pdf/27483.pdf</vt:lpwstr>
      </vt:variant>
      <vt:variant>
        <vt:lpwstr/>
      </vt:variant>
      <vt:variant>
        <vt:i4>4194324</vt:i4>
      </vt:variant>
      <vt:variant>
        <vt:i4>0</vt:i4>
      </vt:variant>
      <vt:variant>
        <vt:i4>0</vt:i4>
      </vt:variant>
      <vt:variant>
        <vt:i4>5</vt:i4>
      </vt:variant>
      <vt:variant>
        <vt:lpwstr>https://www.esv.se/contentassets/147db303c0ee4b8f8bd79f9bf2155d91/2016-31-vagledning-verksamhetslogik.pdf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Dobo Sonja</dc:creator>
  <cp:keywords/>
  <dc:description/>
  <cp:lastModifiedBy>Dobo Sonja</cp:lastModifiedBy>
  <cp:revision>7</cp:revision>
  <cp:lastPrinted>2021-11-01T14:10:00Z</cp:lastPrinted>
  <dcterms:created xsi:type="dcterms:W3CDTF">2022-02-09T15:38:00Z</dcterms:created>
  <dcterms:modified xsi:type="dcterms:W3CDTF">2022-02-10T08:53:00Z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nr">
    <vt:lpwstr>MSB-36.1</vt:lpwstr>
  </property>
  <property fmtid="{D5CDD505-2E9C-101B-9397-08002B2CF9AE}" pid="3" name="Mallagare">
    <vt:lpwstr>VS-KOMM</vt:lpwstr>
  </property>
  <property fmtid="{D5CDD505-2E9C-101B-9397-08002B2CF9AE}" pid="4" name="ContentTypeId">
    <vt:lpwstr>0x01010057D91A00BC53844AB5273156A4D0B6D1</vt:lpwstr>
  </property>
</Properties>
</file>